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40" w:lineRule="auto"/>
        <w:jc w:val="center"/>
        <w:rPr/>
      </w:pPr>
      <w:r w:rsidDel="00000000" w:rsidR="00000000" w:rsidRPr="00000000">
        <w:rPr>
          <w:b w:val="1"/>
          <w:bCs w:val="1"/>
          <w:sz w:val="28"/>
          <w:szCs w:val="28"/>
          <w:rtl w:val="0"/>
        </w:rPr>
        <w:t xml:space="preserve">Terms of Reference</w:t>
      </w:r>
      <w:r w:rsidDel="00000000" w:rsidR="00000000" w:rsidRPr="00000000">
        <w:rPr>
          <w:rtl w:val="0"/>
        </w:rPr>
      </w:r>
    </w:p>
    <w:p w:rsidR="00000000" w:rsidDel="00000000" w:rsidP="00000000" w:rsidRDefault="00000000" w:rsidRPr="00000000" w14:paraId="00000002">
      <w:pPr>
        <w:spacing w:after="200" w:lineRule="auto"/>
        <w:jc w:val="center"/>
        <w:rPr/>
      </w:pPr>
      <w:r w:rsidDel="00000000" w:rsidR="00000000" w:rsidRPr="00000000">
        <w:rPr>
          <w:b w:val="1"/>
          <w:bCs w:val="1"/>
          <w:sz w:val="28"/>
          <w:szCs w:val="28"/>
          <w:rtl w:val="0"/>
        </w:rPr>
        <w:t xml:space="preserve">Технічне завдання</w:t>
      </w:r>
      <w:r w:rsidDel="00000000" w:rsidR="00000000" w:rsidRPr="00000000">
        <w:rPr>
          <w:rtl w:val="0"/>
        </w:rPr>
      </w:r>
    </w:p>
    <w:tbl>
      <w:tblPr>
        <w:tblStyle w:val="Table1"/>
        <w:tblW w:w="90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30"/>
        <w:gridCol w:w="4530"/>
        <w:tblGridChange w:id="0">
          <w:tblGrid>
            <w:gridCol w:w="4530"/>
            <w:gridCol w:w="4530"/>
          </w:tblGrid>
        </w:tblGridChange>
      </w:tblGrid>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03">
            <w:pPr>
              <w:spacing w:after="60" w:lineRule="auto"/>
              <w:rPr/>
            </w:pPr>
            <w:r w:rsidDel="00000000" w:rsidR="00000000" w:rsidRPr="00000000">
              <w:rPr>
                <w:b w:val="1"/>
                <w:bCs w:val="1"/>
                <w:rtl w:val="0"/>
              </w:rPr>
              <w:t xml:space="preserve">Annex 1 to the Call for Experts</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04">
            <w:pPr>
              <w:spacing w:after="60" w:lineRule="auto"/>
              <w:rPr/>
            </w:pPr>
            <w:r w:rsidDel="00000000" w:rsidR="00000000" w:rsidRPr="00000000">
              <w:rPr>
                <w:b w:val="1"/>
                <w:bCs w:val="1"/>
                <w:rtl w:val="0"/>
              </w:rPr>
              <w:t xml:space="preserve">Додаток 1 до Заклику до подання заявок від експертів</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05">
            <w:pPr>
              <w:spacing w:after="60" w:lineRule="auto"/>
              <w:rPr/>
            </w:pPr>
            <w:r w:rsidDel="00000000" w:rsidR="00000000" w:rsidRPr="00000000">
              <w:rPr>
                <w:b w:val="1"/>
                <w:bCs w:val="1"/>
                <w:rtl w:val="0"/>
              </w:rPr>
              <w:t xml:space="preserve">Project:</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06">
            <w:pPr>
              <w:spacing w:after="60" w:lineRule="auto"/>
              <w:rPr/>
            </w:pPr>
            <w:r w:rsidDel="00000000" w:rsidR="00000000" w:rsidRPr="00000000">
              <w:rPr>
                <w:b w:val="1"/>
                <w:bCs w:val="1"/>
                <w:rtl w:val="0"/>
              </w:rPr>
              <w:t xml:space="preserve">Проєкт:</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07">
            <w:pPr>
              <w:spacing w:after="60" w:lineRule="auto"/>
              <w:rPr/>
            </w:pPr>
            <w:r w:rsidDel="00000000" w:rsidR="00000000" w:rsidRPr="00000000">
              <w:rPr>
                <w:rtl w:val="0"/>
              </w:rPr>
              <w:t xml:space="preserve">ACQUIS-UA 2.0 </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08">
            <w:pPr>
              <w:spacing w:after="60" w:lineRule="auto"/>
              <w:rPr/>
            </w:pPr>
            <w:r w:rsidDel="00000000" w:rsidR="00000000" w:rsidRPr="00000000">
              <w:rPr>
                <w:rtl w:val="0"/>
              </w:rPr>
              <w:t xml:space="preserve">ACQUIS-UA 2.0 </w:t>
            </w:r>
          </w:p>
        </w:tc>
      </w:tr>
    </w:tbl>
    <w:p w:rsidR="00000000" w:rsidDel="00000000" w:rsidP="00000000" w:rsidRDefault="00000000" w:rsidRPr="00000000" w14:paraId="00000009">
      <w:pPr>
        <w:spacing w:after="80" w:lineRule="auto"/>
        <w:rPr/>
      </w:pPr>
      <w:r w:rsidDel="00000000" w:rsidR="00000000" w:rsidRPr="00000000">
        <w:rPr>
          <w:rtl w:val="0"/>
        </w:rPr>
      </w:r>
    </w:p>
    <w:tbl>
      <w:tblPr>
        <w:tblStyle w:val="Table2"/>
        <w:tblW w:w="90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30"/>
        <w:gridCol w:w="4530"/>
        <w:tblGridChange w:id="0">
          <w:tblGrid>
            <w:gridCol w:w="4530"/>
            <w:gridCol w:w="4530"/>
          </w:tblGrid>
        </w:tblGridChange>
      </w:tblGrid>
      <w:tr>
        <w:trPr>
          <w:cantSplit w:val="0"/>
          <w:tblHeader w:val="0"/>
        </w:trPr>
        <w:tc>
          <w:tcPr>
            <w:tcBorders>
              <w:top w:color="999999" w:space="0" w:sz="4" w:val="single"/>
              <w:left w:color="999999" w:space="0" w:sz="4" w:val="single"/>
              <w:bottom w:color="999999" w:space="0" w:sz="4" w:val="single"/>
              <w:right w:color="999999" w:space="0" w:sz="4" w:val="single"/>
            </w:tcBorders>
            <w:shd w:fill="d9e2f3" w:val="clear"/>
            <w:tcMar>
              <w:top w:w="60.0" w:type="dxa"/>
              <w:left w:w="100.0" w:type="dxa"/>
              <w:bottom w:w="60.0" w:type="dxa"/>
              <w:right w:w="100.0" w:type="dxa"/>
            </w:tcMar>
          </w:tcPr>
          <w:p w:rsidR="00000000" w:rsidDel="00000000" w:rsidP="00000000" w:rsidRDefault="00000000" w:rsidRPr="00000000" w14:paraId="0000000A">
            <w:pPr>
              <w:spacing w:after="60" w:lineRule="auto"/>
              <w:rPr/>
            </w:pPr>
            <w:r w:rsidDel="00000000" w:rsidR="00000000" w:rsidRPr="00000000">
              <w:rPr>
                <w:b w:val="1"/>
                <w:bCs w:val="1"/>
                <w:rtl w:val="0"/>
              </w:rPr>
              <w:t xml:space="preserve">1. List of abbreviations</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9e2f3" w:val="clear"/>
            <w:tcMar>
              <w:top w:w="60.0" w:type="dxa"/>
              <w:left w:w="100.0" w:type="dxa"/>
              <w:bottom w:w="60.0" w:type="dxa"/>
              <w:right w:w="100.0" w:type="dxa"/>
            </w:tcMar>
          </w:tcPr>
          <w:p w:rsidR="00000000" w:rsidDel="00000000" w:rsidP="00000000" w:rsidRDefault="00000000" w:rsidRPr="00000000" w14:paraId="0000000B">
            <w:pPr>
              <w:spacing w:after="60" w:lineRule="auto"/>
              <w:rPr/>
            </w:pPr>
            <w:r w:rsidDel="00000000" w:rsidR="00000000" w:rsidRPr="00000000">
              <w:rPr>
                <w:b w:val="1"/>
                <w:bCs w:val="1"/>
                <w:rtl w:val="0"/>
              </w:rPr>
              <w:t xml:space="preserve">1. Перелік скорочень</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0C">
            <w:pPr>
              <w:spacing w:after="60" w:lineRule="auto"/>
              <w:rPr/>
            </w:pPr>
            <w:r w:rsidDel="00000000" w:rsidR="00000000" w:rsidRPr="00000000">
              <w:rPr>
                <w:rtl w:val="0"/>
              </w:rPr>
              <w:t xml:space="preserve">UPI</w:t>
            </w:r>
          </w:p>
          <w:p w:rsidR="00000000" w:rsidDel="00000000" w:rsidP="00000000" w:rsidRDefault="00000000" w:rsidRPr="00000000" w14:paraId="0000000D">
            <w:pPr>
              <w:spacing w:after="60" w:lineRule="auto"/>
              <w:rPr/>
            </w:pPr>
            <w:r w:rsidDel="00000000" w:rsidR="00000000" w:rsidRPr="00000000">
              <w:rPr>
                <w:rtl w:val="0"/>
              </w:rPr>
              <w:t xml:space="preserve">Ukrainian Parliamentary Institute</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0E">
            <w:pPr>
              <w:spacing w:after="60" w:lineRule="auto"/>
              <w:rPr/>
            </w:pPr>
            <w:r w:rsidDel="00000000" w:rsidR="00000000" w:rsidRPr="00000000">
              <w:rPr>
                <w:rtl w:val="0"/>
              </w:rPr>
              <w:t xml:space="preserve">УПІ</w:t>
            </w:r>
          </w:p>
          <w:p w:rsidR="00000000" w:rsidDel="00000000" w:rsidP="00000000" w:rsidRDefault="00000000" w:rsidRPr="00000000" w14:paraId="0000000F">
            <w:pPr>
              <w:spacing w:after="60" w:lineRule="auto"/>
              <w:rPr/>
            </w:pPr>
            <w:r w:rsidDel="00000000" w:rsidR="00000000" w:rsidRPr="00000000">
              <w:rPr>
                <w:rtl w:val="0"/>
              </w:rPr>
              <w:t xml:space="preserve">Український парламентський інститут</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10">
            <w:pPr>
              <w:spacing w:after="60" w:lineRule="auto"/>
              <w:rPr/>
            </w:pPr>
            <w:r w:rsidDel="00000000" w:rsidR="00000000" w:rsidRPr="00000000">
              <w:rPr>
                <w:rtl w:val="0"/>
              </w:rPr>
              <w:t xml:space="preserve">GIZ</w:t>
            </w:r>
          </w:p>
          <w:p w:rsidR="00000000" w:rsidDel="00000000" w:rsidP="00000000" w:rsidRDefault="00000000" w:rsidRPr="00000000" w14:paraId="00000011">
            <w:pPr>
              <w:spacing w:after="60" w:lineRule="auto"/>
              <w:rPr/>
            </w:pPr>
            <w:r w:rsidDel="00000000" w:rsidR="00000000" w:rsidRPr="00000000">
              <w:rPr>
                <w:rtl w:val="0"/>
              </w:rPr>
              <w:t xml:space="preserve">Deutsche Gesellschaft für Internationale Zusammenarbeit GmbH</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12">
            <w:pPr>
              <w:spacing w:after="60" w:lineRule="auto"/>
              <w:rPr/>
            </w:pPr>
            <w:r w:rsidDel="00000000" w:rsidR="00000000" w:rsidRPr="00000000">
              <w:rPr>
                <w:rtl w:val="0"/>
              </w:rPr>
              <w:t xml:space="preserve">GIZ</w:t>
            </w:r>
          </w:p>
          <w:p w:rsidR="00000000" w:rsidDel="00000000" w:rsidP="00000000" w:rsidRDefault="00000000" w:rsidRPr="00000000" w14:paraId="00000013">
            <w:pPr>
              <w:spacing w:after="60" w:lineRule="auto"/>
              <w:rPr/>
            </w:pPr>
            <w:r w:rsidDel="00000000" w:rsidR="00000000" w:rsidRPr="00000000">
              <w:rPr>
                <w:rtl w:val="0"/>
              </w:rPr>
              <w:t xml:space="preserve">Deutsche Gesellschaft für Internationale Zusammenarbeit GmbH</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14">
            <w:pPr>
              <w:spacing w:after="60" w:lineRule="auto"/>
              <w:rPr/>
            </w:pPr>
            <w:r w:rsidDel="00000000" w:rsidR="00000000" w:rsidRPr="00000000">
              <w:rPr>
                <w:rtl w:val="0"/>
              </w:rPr>
              <w:t xml:space="preserve">VRU</w:t>
            </w:r>
          </w:p>
          <w:p w:rsidR="00000000" w:rsidDel="00000000" w:rsidP="00000000" w:rsidRDefault="00000000" w:rsidRPr="00000000" w14:paraId="00000015">
            <w:pPr>
              <w:spacing w:after="60" w:lineRule="auto"/>
              <w:rPr/>
            </w:pPr>
            <w:r w:rsidDel="00000000" w:rsidR="00000000" w:rsidRPr="00000000">
              <w:rPr>
                <w:rtl w:val="0"/>
              </w:rPr>
              <w:t xml:space="preserve">Verkhovna Rada of Ukraine</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16">
            <w:pPr>
              <w:spacing w:after="60" w:lineRule="auto"/>
              <w:rPr/>
            </w:pPr>
            <w:r w:rsidDel="00000000" w:rsidR="00000000" w:rsidRPr="00000000">
              <w:rPr>
                <w:rtl w:val="0"/>
              </w:rPr>
              <w:t xml:space="preserve">ВРУ</w:t>
            </w:r>
          </w:p>
          <w:p w:rsidR="00000000" w:rsidDel="00000000" w:rsidP="00000000" w:rsidRDefault="00000000" w:rsidRPr="00000000" w14:paraId="00000017">
            <w:pPr>
              <w:spacing w:after="60" w:lineRule="auto"/>
              <w:rPr/>
            </w:pPr>
            <w:r w:rsidDel="00000000" w:rsidR="00000000" w:rsidRPr="00000000">
              <w:rPr>
                <w:rtl w:val="0"/>
              </w:rPr>
              <w:t xml:space="preserve">Верховна Рада України</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18">
            <w:pPr>
              <w:spacing w:after="60" w:lineRule="auto"/>
              <w:rPr/>
            </w:pPr>
            <w:r w:rsidDel="00000000" w:rsidR="00000000" w:rsidRPr="00000000">
              <w:rPr>
                <w:rtl w:val="0"/>
              </w:rPr>
              <w:t xml:space="preserve">NABU/SAPO/NACP/HACC</w:t>
            </w:r>
          </w:p>
          <w:p w:rsidR="00000000" w:rsidDel="00000000" w:rsidP="00000000" w:rsidRDefault="00000000" w:rsidRPr="00000000" w14:paraId="00000019">
            <w:pPr>
              <w:spacing w:after="60" w:lineRule="auto"/>
              <w:rPr/>
            </w:pPr>
            <w:r w:rsidDel="00000000" w:rsidR="00000000" w:rsidRPr="00000000">
              <w:rPr>
                <w:rtl w:val="0"/>
              </w:rPr>
              <w:t xml:space="preserve">National Anti-Corruption Bureau / Specialised Anti-Corruption Prosecutor's Office / National Agency on Corruption Prevention / High Anti-Corruption Court</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1A">
            <w:pPr>
              <w:spacing w:after="60" w:lineRule="auto"/>
              <w:rPr/>
            </w:pPr>
            <w:r w:rsidDel="00000000" w:rsidR="00000000" w:rsidRPr="00000000">
              <w:rPr>
                <w:rtl w:val="0"/>
              </w:rPr>
              <w:t xml:space="preserve">НАБУ/САП/НАЗК/ВАКС</w:t>
            </w:r>
          </w:p>
          <w:p w:rsidR="00000000" w:rsidDel="00000000" w:rsidP="00000000" w:rsidRDefault="00000000" w:rsidRPr="00000000" w14:paraId="0000001B">
            <w:pPr>
              <w:spacing w:after="60" w:lineRule="auto"/>
              <w:rPr/>
            </w:pPr>
            <w:r w:rsidDel="00000000" w:rsidR="00000000" w:rsidRPr="00000000">
              <w:rPr>
                <w:rtl w:val="0"/>
              </w:rPr>
              <w:t xml:space="preserve">Національне антикорупційне бюро / Спеціалізована антикорупційна прокуратура / Національне агентство з питань запобігання корупції / Вищий антикорупційний суд</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1C">
            <w:pPr>
              <w:spacing w:after="60" w:lineRule="auto"/>
              <w:rPr/>
            </w:pPr>
            <w:r w:rsidDel="00000000" w:rsidR="00000000" w:rsidRPr="00000000">
              <w:rPr>
                <w:rtl w:val="0"/>
              </w:rPr>
              <w:t xml:space="preserve">ToR</w:t>
            </w:r>
          </w:p>
          <w:p w:rsidR="00000000" w:rsidDel="00000000" w:rsidP="00000000" w:rsidRDefault="00000000" w:rsidRPr="00000000" w14:paraId="0000001D">
            <w:pPr>
              <w:spacing w:after="60" w:lineRule="auto"/>
              <w:rPr/>
            </w:pPr>
            <w:r w:rsidDel="00000000" w:rsidR="00000000" w:rsidRPr="00000000">
              <w:rPr>
                <w:rtl w:val="0"/>
              </w:rPr>
              <w:t xml:space="preserve">Terms of Reference</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1E">
            <w:pPr>
              <w:spacing w:after="60" w:lineRule="auto"/>
              <w:rPr/>
            </w:pPr>
            <w:r w:rsidDel="00000000" w:rsidR="00000000" w:rsidRPr="00000000">
              <w:rPr>
                <w:rtl w:val="0"/>
              </w:rPr>
              <w:t xml:space="preserve">ТЗ</w:t>
            </w:r>
          </w:p>
          <w:p w:rsidR="00000000" w:rsidDel="00000000" w:rsidP="00000000" w:rsidRDefault="00000000" w:rsidRPr="00000000" w14:paraId="0000001F">
            <w:pPr>
              <w:spacing w:after="60" w:lineRule="auto"/>
              <w:rPr/>
            </w:pPr>
            <w:r w:rsidDel="00000000" w:rsidR="00000000" w:rsidRPr="00000000">
              <w:rPr>
                <w:rtl w:val="0"/>
              </w:rPr>
              <w:t xml:space="preserve">Технічне завдання</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20">
            <w:pPr>
              <w:spacing w:after="60" w:lineRule="auto"/>
              <w:rPr/>
            </w:pPr>
            <w:r w:rsidDel="00000000" w:rsidR="00000000" w:rsidRPr="00000000">
              <w:rPr>
                <w:rtl w:val="0"/>
              </w:rPr>
              <w:t xml:space="preserve">acquis</w:t>
            </w:r>
          </w:p>
          <w:p w:rsidR="00000000" w:rsidDel="00000000" w:rsidP="00000000" w:rsidRDefault="00000000" w:rsidRPr="00000000" w14:paraId="00000021">
            <w:pPr>
              <w:spacing w:after="60" w:lineRule="auto"/>
              <w:rPr/>
            </w:pPr>
            <w:r w:rsidDel="00000000" w:rsidR="00000000" w:rsidRPr="00000000">
              <w:rPr>
                <w:rtl w:val="0"/>
              </w:rPr>
              <w:t xml:space="preserve">the body of EU law</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22">
            <w:pPr>
              <w:spacing w:after="60" w:lineRule="auto"/>
              <w:rPr/>
            </w:pPr>
            <w:r w:rsidDel="00000000" w:rsidR="00000000" w:rsidRPr="00000000">
              <w:rPr>
                <w:rtl w:val="0"/>
              </w:rPr>
              <w:t xml:space="preserve">acquis</w:t>
            </w:r>
          </w:p>
          <w:p w:rsidR="00000000" w:rsidDel="00000000" w:rsidP="00000000" w:rsidRDefault="00000000" w:rsidRPr="00000000" w14:paraId="00000023">
            <w:pPr>
              <w:spacing w:after="60" w:lineRule="auto"/>
              <w:rPr/>
            </w:pPr>
            <w:r w:rsidDel="00000000" w:rsidR="00000000" w:rsidRPr="00000000">
              <w:rPr>
                <w:rtl w:val="0"/>
              </w:rPr>
              <w:t xml:space="preserve">правовий доробок ЄС</w:t>
            </w:r>
          </w:p>
        </w:tc>
      </w:tr>
    </w:tbl>
    <w:p w:rsidR="00000000" w:rsidDel="00000000" w:rsidP="00000000" w:rsidRDefault="00000000" w:rsidRPr="00000000" w14:paraId="00000024">
      <w:pPr>
        <w:spacing w:after="80" w:lineRule="auto"/>
        <w:rPr/>
      </w:pPr>
      <w:r w:rsidDel="00000000" w:rsidR="00000000" w:rsidRPr="00000000">
        <w:rPr>
          <w:rtl w:val="0"/>
        </w:rPr>
      </w:r>
    </w:p>
    <w:tbl>
      <w:tblPr>
        <w:tblStyle w:val="Table3"/>
        <w:tblW w:w="90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30"/>
        <w:gridCol w:w="4530"/>
        <w:tblGridChange w:id="0">
          <w:tblGrid>
            <w:gridCol w:w="4530"/>
            <w:gridCol w:w="4530"/>
          </w:tblGrid>
        </w:tblGridChange>
      </w:tblGrid>
      <w:tr>
        <w:trPr>
          <w:cantSplit w:val="0"/>
          <w:tblHeader w:val="0"/>
        </w:trPr>
        <w:tc>
          <w:tcPr>
            <w:tcBorders>
              <w:top w:color="999999" w:space="0" w:sz="4" w:val="single"/>
              <w:left w:color="999999" w:space="0" w:sz="4" w:val="single"/>
              <w:bottom w:color="999999" w:space="0" w:sz="4" w:val="single"/>
              <w:right w:color="999999" w:space="0" w:sz="4" w:val="single"/>
            </w:tcBorders>
            <w:shd w:fill="d9e2f3" w:val="clear"/>
            <w:tcMar>
              <w:top w:w="60.0" w:type="dxa"/>
              <w:left w:w="100.0" w:type="dxa"/>
              <w:bottom w:w="60.0" w:type="dxa"/>
              <w:right w:w="100.0" w:type="dxa"/>
            </w:tcMar>
          </w:tcPr>
          <w:p w:rsidR="00000000" w:rsidDel="00000000" w:rsidP="00000000" w:rsidRDefault="00000000" w:rsidRPr="00000000" w14:paraId="00000025">
            <w:pPr>
              <w:spacing w:after="60" w:lineRule="auto"/>
              <w:rPr/>
            </w:pPr>
            <w:r w:rsidDel="00000000" w:rsidR="00000000" w:rsidRPr="00000000">
              <w:rPr>
                <w:b w:val="1"/>
                <w:bCs w:val="1"/>
                <w:rtl w:val="0"/>
              </w:rPr>
              <w:t xml:space="preserve">2. Context</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9e2f3" w:val="clear"/>
            <w:tcMar>
              <w:top w:w="60.0" w:type="dxa"/>
              <w:left w:w="100.0" w:type="dxa"/>
              <w:bottom w:w="60.0" w:type="dxa"/>
              <w:right w:w="100.0" w:type="dxa"/>
            </w:tcMar>
          </w:tcPr>
          <w:p w:rsidR="00000000" w:rsidDel="00000000" w:rsidP="00000000" w:rsidRDefault="00000000" w:rsidRPr="00000000" w14:paraId="00000026">
            <w:pPr>
              <w:spacing w:after="60" w:lineRule="auto"/>
              <w:rPr/>
            </w:pPr>
            <w:r w:rsidDel="00000000" w:rsidR="00000000" w:rsidRPr="00000000">
              <w:rPr>
                <w:b w:val="1"/>
                <w:bCs w:val="1"/>
                <w:rtl w:val="0"/>
              </w:rPr>
              <w:t xml:space="preserve">2. Контекст</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27">
            <w:pPr>
              <w:spacing w:after="60" w:lineRule="auto"/>
              <w:rPr/>
            </w:pPr>
            <w:r w:rsidDel="00000000" w:rsidR="00000000" w:rsidRPr="00000000">
              <w:rPr>
                <w:rtl w:val="0"/>
              </w:rPr>
              <w:t xml:space="preserve">The Ukrainian Parliamentary Institute (UPI) implements the project "ACQUIS-UA 2.0", funded by GIZ, which builds on the outputs of Phase 1 (incl. the parliamentary action plan) with the focus on diagnostics and monitoring implementation of legislative relevant to Ukraine's EU accession process.</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28">
            <w:pPr>
              <w:spacing w:after="60" w:lineRule="auto"/>
              <w:rPr/>
            </w:pPr>
            <w:r w:rsidDel="00000000" w:rsidR="00000000" w:rsidRPr="00000000">
              <w:rPr>
                <w:rtl w:val="0"/>
              </w:rPr>
              <w:t xml:space="preserve">Український парламентський інститут (УПІ) реалізує проєкт «ACQUIS-UA 2.0» за фінансування GIZ, який спирається на результати Фази 1 (у т.ч. план дій парламенту) з акцентом на діагностиці та моніторингу впровадження законодавства, що стосується процесу вступу України до ЄС..</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29">
            <w:pPr>
              <w:spacing w:after="60" w:lineRule="auto"/>
              <w:rPr/>
            </w:pPr>
            <w:r w:rsidDel="00000000" w:rsidR="00000000" w:rsidRPr="00000000">
              <w:rPr>
                <w:rtl w:val="0"/>
              </w:rPr>
              <w:t xml:space="preserve">The project's outputs include ad hoc policy briefs and thematic policy briefs on legislative monitoring, the development of the policy brief on palriamentary reform and the role of parliament in EU integration. To deliver these outputs on time and with the required analytical depth, UPI is seeking two individual short-term experts.</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2A">
            <w:pPr>
              <w:spacing w:after="60" w:lineRule="auto"/>
              <w:rPr/>
            </w:pPr>
            <w:r w:rsidDel="00000000" w:rsidR="00000000" w:rsidRPr="00000000">
              <w:rPr>
                <w:rtl w:val="0"/>
              </w:rPr>
              <w:t xml:space="preserve">Результати проекту включають спеціальні аналітичні записки та тематичні аналітичні записки щодо законодавчого моніторингу, розробку аналітичної записки щодо парламентської реформи та ролі парламенту в інтеграції з ЄС. Щоб вчасно та з необхідною аналітичною глибиною виконати ці завдання, UPI шукає двох індивідуальних короткострокових експертів.</w:t>
            </w:r>
          </w:p>
        </w:tc>
      </w:tr>
    </w:tbl>
    <w:p w:rsidR="00000000" w:rsidDel="00000000" w:rsidP="00000000" w:rsidRDefault="00000000" w:rsidRPr="00000000" w14:paraId="0000002B">
      <w:pPr>
        <w:spacing w:after="80" w:lineRule="auto"/>
        <w:rPr/>
      </w:pPr>
      <w:r w:rsidDel="00000000" w:rsidR="00000000" w:rsidRPr="00000000">
        <w:rPr>
          <w:rtl w:val="0"/>
        </w:rPr>
      </w:r>
    </w:p>
    <w:tbl>
      <w:tblPr>
        <w:tblStyle w:val="Table4"/>
        <w:tblW w:w="90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30"/>
        <w:gridCol w:w="4530"/>
        <w:tblGridChange w:id="0">
          <w:tblGrid>
            <w:gridCol w:w="4530"/>
            <w:gridCol w:w="4530"/>
          </w:tblGrid>
        </w:tblGridChange>
      </w:tblGrid>
      <w:tr>
        <w:trPr>
          <w:cantSplit w:val="0"/>
          <w:tblHeader w:val="0"/>
        </w:trPr>
        <w:tc>
          <w:tcPr>
            <w:tcBorders>
              <w:top w:color="999999" w:space="0" w:sz="4" w:val="single"/>
              <w:left w:color="999999" w:space="0" w:sz="4" w:val="single"/>
              <w:bottom w:color="999999" w:space="0" w:sz="4" w:val="single"/>
              <w:right w:color="999999" w:space="0" w:sz="4" w:val="single"/>
            </w:tcBorders>
            <w:shd w:fill="d9e2f3" w:val="clear"/>
            <w:tcMar>
              <w:top w:w="60.0" w:type="dxa"/>
              <w:left w:w="100.0" w:type="dxa"/>
              <w:bottom w:w="60.0" w:type="dxa"/>
              <w:right w:w="100.0" w:type="dxa"/>
            </w:tcMar>
          </w:tcPr>
          <w:p w:rsidR="00000000" w:rsidDel="00000000" w:rsidP="00000000" w:rsidRDefault="00000000" w:rsidRPr="00000000" w14:paraId="0000002C">
            <w:pPr>
              <w:spacing w:after="60" w:lineRule="auto"/>
              <w:rPr/>
            </w:pPr>
            <w:r w:rsidDel="00000000" w:rsidR="00000000" w:rsidRPr="00000000">
              <w:rPr>
                <w:b w:val="1"/>
                <w:bCs w:val="1"/>
                <w:rtl w:val="0"/>
              </w:rPr>
              <w:t xml:space="preserve">3. Tasks to be performed</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9e2f3" w:val="clear"/>
            <w:tcMar>
              <w:top w:w="60.0" w:type="dxa"/>
              <w:left w:w="100.0" w:type="dxa"/>
              <w:bottom w:w="60.0" w:type="dxa"/>
              <w:right w:w="100.0" w:type="dxa"/>
            </w:tcMar>
          </w:tcPr>
          <w:p w:rsidR="00000000" w:rsidDel="00000000" w:rsidP="00000000" w:rsidRDefault="00000000" w:rsidRPr="00000000" w14:paraId="0000002D">
            <w:pPr>
              <w:spacing w:after="60" w:lineRule="auto"/>
              <w:rPr/>
            </w:pPr>
            <w:r w:rsidDel="00000000" w:rsidR="00000000" w:rsidRPr="00000000">
              <w:rPr>
                <w:b w:val="1"/>
                <w:bCs w:val="1"/>
                <w:rtl w:val="0"/>
              </w:rPr>
              <w:t xml:space="preserve">3. Завдання, що виконуються</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f2f2f2" w:val="clear"/>
            <w:tcMar>
              <w:top w:w="60.0" w:type="dxa"/>
              <w:left w:w="100.0" w:type="dxa"/>
              <w:bottom w:w="60.0" w:type="dxa"/>
              <w:right w:w="100.0" w:type="dxa"/>
            </w:tcMar>
          </w:tcPr>
          <w:p w:rsidR="00000000" w:rsidDel="00000000" w:rsidP="00000000" w:rsidRDefault="00000000" w:rsidRPr="00000000" w14:paraId="0000002E">
            <w:pPr>
              <w:spacing w:after="60" w:lineRule="auto"/>
              <w:rPr/>
            </w:pPr>
            <w:r w:rsidDel="00000000" w:rsidR="00000000" w:rsidRPr="00000000">
              <w:rPr>
                <w:b w:val="1"/>
                <w:bCs w:val="1"/>
                <w:rtl w:val="0"/>
              </w:rPr>
              <w:t xml:space="preserve">Position 1 — Expert on Parliamentary Affairs</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2f2f2" w:val="clear"/>
            <w:tcMar>
              <w:top w:w="60.0" w:type="dxa"/>
              <w:left w:w="100.0" w:type="dxa"/>
              <w:bottom w:w="60.0" w:type="dxa"/>
              <w:right w:w="100.0" w:type="dxa"/>
            </w:tcMar>
          </w:tcPr>
          <w:p w:rsidR="00000000" w:rsidDel="00000000" w:rsidP="00000000" w:rsidRDefault="00000000" w:rsidRPr="00000000" w14:paraId="0000002F">
            <w:pPr>
              <w:spacing w:after="60" w:lineRule="auto"/>
              <w:rPr/>
            </w:pPr>
            <w:r w:rsidDel="00000000" w:rsidR="00000000" w:rsidRPr="00000000">
              <w:rPr>
                <w:b w:val="1"/>
                <w:bCs w:val="1"/>
                <w:rtl w:val="0"/>
              </w:rPr>
              <w:t xml:space="preserve">Позиція 1 — Експерт з парламентських справ</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30">
            <w:pPr>
              <w:spacing w:after="60" w:lineRule="auto"/>
              <w:rPr/>
            </w:pPr>
            <w:r w:rsidDel="00000000" w:rsidR="00000000" w:rsidRPr="00000000">
              <w:rPr>
                <w:rtl w:val="0"/>
              </w:rPr>
              <w:t xml:space="preserve">The expert shall:</w:t>
            </w:r>
          </w:p>
          <w:p w:rsidR="00000000" w:rsidDel="00000000" w:rsidP="00000000" w:rsidRDefault="00000000" w:rsidRPr="00000000" w14:paraId="00000031">
            <w:pPr>
              <w:spacing w:after="60" w:lineRule="auto"/>
              <w:rPr/>
            </w:pPr>
            <w:r w:rsidDel="00000000" w:rsidR="00000000" w:rsidRPr="00000000">
              <w:rPr>
                <w:rtl w:val="0"/>
              </w:rPr>
              <w:t xml:space="preserve">• Monitor the legislative process in the Verkhovna Rada relevant to the project's focus areas (parliamentary reform, anti-corruption legislation, oversight of NABU/SAPO/NACP/HACC);</w:t>
            </w:r>
          </w:p>
          <w:p w:rsidR="00000000" w:rsidDel="00000000" w:rsidP="00000000" w:rsidRDefault="00000000" w:rsidRPr="00000000" w14:paraId="00000032">
            <w:pPr>
              <w:spacing w:after="60" w:lineRule="auto"/>
              <w:rPr/>
            </w:pPr>
            <w:r w:rsidDel="00000000" w:rsidR="00000000" w:rsidRPr="00000000">
              <w:rPr>
                <w:rtl w:val="0"/>
              </w:rPr>
              <w:t xml:space="preserve">• Analyse draft laws under review in the relevant parliamentary committees and their alignment with the Rule of Law Roadmap;</w:t>
            </w:r>
          </w:p>
          <w:p w:rsidR="00000000" w:rsidDel="00000000" w:rsidP="00000000" w:rsidRDefault="00000000" w:rsidRPr="00000000" w14:paraId="00000033">
            <w:pPr>
              <w:spacing w:after="60" w:lineRule="auto"/>
              <w:rPr/>
            </w:pPr>
            <w:r w:rsidDel="00000000" w:rsidR="00000000" w:rsidRPr="00000000">
              <w:rPr>
                <w:rtl w:val="0"/>
              </w:rPr>
              <w:t xml:space="preserve">• Prepare ad hoc policy briefs and contribute to thematic policy briefs on parliamentary reform and anti-corruption oversight;</w:t>
            </w:r>
          </w:p>
          <w:p w:rsidR="00000000" w:rsidDel="00000000" w:rsidP="00000000" w:rsidRDefault="00000000" w:rsidRPr="00000000" w14:paraId="00000034">
            <w:pPr>
              <w:spacing w:after="60" w:lineRule="auto"/>
              <w:rPr/>
            </w:pPr>
            <w:r w:rsidDel="00000000" w:rsidR="00000000" w:rsidRPr="00000000">
              <w:rPr>
                <w:rtl w:val="0"/>
              </w:rPr>
              <w:t xml:space="preserve">• Prepare short monitoring updates on a regular basis;</w:t>
            </w:r>
          </w:p>
          <w:p w:rsidR="00000000" w:rsidDel="00000000" w:rsidP="00000000" w:rsidRDefault="00000000" w:rsidRPr="00000000" w14:paraId="00000035">
            <w:pPr>
              <w:spacing w:after="60" w:lineRule="auto"/>
              <w:rPr/>
            </w:pPr>
            <w:r w:rsidDel="00000000" w:rsidR="00000000" w:rsidRPr="00000000">
              <w:rPr>
                <w:rtl w:val="0"/>
              </w:rPr>
              <w:t xml:space="preserve">• Prepare research papers on a parliamentary-affairs issues central to the project;</w:t>
            </w:r>
          </w:p>
          <w:p w:rsidR="00000000" w:rsidDel="00000000" w:rsidP="00000000" w:rsidRDefault="00000000" w:rsidRPr="00000000" w14:paraId="00000036">
            <w:pPr>
              <w:spacing w:after="60" w:lineRule="auto"/>
              <w:rPr/>
            </w:pPr>
            <w:r w:rsidDel="00000000" w:rsidR="00000000" w:rsidRPr="00000000">
              <w:rPr>
                <w:rtl w:val="0"/>
              </w:rPr>
              <w:t xml:space="preserve">• Participate in coordination meetings with the UPI project team and, where relevant, with GIZ.</w:t>
            </w:r>
          </w:p>
          <w:p w:rsidR="00000000" w:rsidDel="00000000" w:rsidP="00000000" w:rsidRDefault="00000000" w:rsidRPr="00000000" w14:paraId="00000037">
            <w:pPr>
              <w:spacing w:after="60" w:lineRule="auto"/>
              <w:rPr/>
            </w:pPr>
            <w:r w:rsidDel="00000000" w:rsidR="00000000" w:rsidRPr="00000000">
              <w:rPr>
                <w:rtl w:val="0"/>
              </w:rPr>
              <w:t xml:space="preserve">• Participate in events and present the analytical materials.</w:t>
            </w:r>
          </w:p>
          <w:p w:rsidR="00000000" w:rsidDel="00000000" w:rsidP="00000000" w:rsidRDefault="00000000" w:rsidRPr="00000000" w14:paraId="00000038">
            <w:pPr>
              <w:spacing w:after="60" w:lineRule="auto"/>
              <w:rPr/>
            </w:pPr>
            <w:r w:rsidDel="00000000" w:rsidR="00000000" w:rsidRPr="00000000">
              <w:rPr>
                <w:rtl w:val="0"/>
              </w:rPr>
            </w:r>
          </w:p>
          <w:p w:rsidR="00000000" w:rsidDel="00000000" w:rsidP="00000000" w:rsidRDefault="00000000" w:rsidRPr="00000000" w14:paraId="00000039">
            <w:pPr>
              <w:spacing w:after="60" w:lineRule="auto"/>
              <w:rPr/>
            </w:pP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3A">
            <w:pPr>
              <w:spacing w:after="60" w:lineRule="auto"/>
              <w:rPr/>
            </w:pPr>
            <w:r w:rsidDel="00000000" w:rsidR="00000000" w:rsidRPr="00000000">
              <w:rPr>
                <w:rtl w:val="0"/>
              </w:rPr>
              <w:t xml:space="preserve">Експерт виконує такі завдання:</w:t>
            </w:r>
          </w:p>
          <w:p w:rsidR="00000000" w:rsidDel="00000000" w:rsidP="00000000" w:rsidRDefault="00000000" w:rsidRPr="00000000" w14:paraId="0000003B">
            <w:pPr>
              <w:spacing w:after="60" w:lineRule="auto"/>
              <w:rPr/>
            </w:pPr>
            <w:r w:rsidDel="00000000" w:rsidR="00000000" w:rsidRPr="00000000">
              <w:rPr>
                <w:rtl w:val="0"/>
              </w:rPr>
              <w:t xml:space="preserve">• Моніторинг законодавчого процесу у Верховній Раді України за напрямами проєкту (парламентська реформа, антикорупційне законодавство, парламентський контроль за НАБУ/САП/НАЗК/ВАКС);</w:t>
            </w:r>
          </w:p>
          <w:p w:rsidR="00000000" w:rsidDel="00000000" w:rsidP="00000000" w:rsidRDefault="00000000" w:rsidRPr="00000000" w14:paraId="0000003C">
            <w:pPr>
              <w:spacing w:after="60" w:lineRule="auto"/>
              <w:rPr/>
            </w:pPr>
            <w:r w:rsidDel="00000000" w:rsidR="00000000" w:rsidRPr="00000000">
              <w:rPr>
                <w:rtl w:val="0"/>
              </w:rPr>
              <w:t xml:space="preserve">• Аналіз законопроєктів, що перебувають на розгляді профільних комітетів ВРУ, та їхньої відповідності Rule of Law Roadmap;</w:t>
            </w:r>
          </w:p>
          <w:p w:rsidR="00000000" w:rsidDel="00000000" w:rsidP="00000000" w:rsidRDefault="00000000" w:rsidRPr="00000000" w14:paraId="0000003D">
            <w:pPr>
              <w:spacing w:after="60" w:lineRule="auto"/>
              <w:rPr/>
            </w:pPr>
            <w:r w:rsidDel="00000000" w:rsidR="00000000" w:rsidRPr="00000000">
              <w:rPr>
                <w:rtl w:val="0"/>
              </w:rPr>
              <w:t xml:space="preserve">• Підготовка ad hoc policy briefs та участь у підготовці тематичних policy briefs з питань парламентської реформи та контролю за антикорупційними органами;</w:t>
            </w:r>
          </w:p>
          <w:p w:rsidR="00000000" w:rsidDel="00000000" w:rsidP="00000000" w:rsidRDefault="00000000" w:rsidRPr="00000000" w14:paraId="0000003E">
            <w:pPr>
              <w:spacing w:after="60" w:lineRule="auto"/>
              <w:rPr/>
            </w:pPr>
            <w:r w:rsidDel="00000000" w:rsidR="00000000" w:rsidRPr="00000000">
              <w:rPr>
                <w:rtl w:val="0"/>
              </w:rPr>
              <w:t xml:space="preserve">• Регулярна підготовка коротких моніторингових оновлень;</w:t>
            </w:r>
          </w:p>
          <w:p w:rsidR="00000000" w:rsidDel="00000000" w:rsidP="00000000" w:rsidRDefault="00000000" w:rsidRPr="00000000" w14:paraId="0000003F">
            <w:pPr>
              <w:spacing w:after="60" w:lineRule="auto"/>
              <w:rPr/>
            </w:pPr>
            <w:r w:rsidDel="00000000" w:rsidR="00000000" w:rsidRPr="00000000">
              <w:rPr>
                <w:rtl w:val="0"/>
              </w:rPr>
              <w:t xml:space="preserve">• Підготовка досліджень на релевантні парламентській проблематиці проєкту теми;</w:t>
            </w:r>
          </w:p>
          <w:p w:rsidR="00000000" w:rsidDel="00000000" w:rsidP="00000000" w:rsidRDefault="00000000" w:rsidRPr="00000000" w14:paraId="00000040">
            <w:pPr>
              <w:spacing w:after="60" w:lineRule="auto"/>
              <w:rPr/>
            </w:pPr>
            <w:r w:rsidDel="00000000" w:rsidR="00000000" w:rsidRPr="00000000">
              <w:rPr>
                <w:rtl w:val="0"/>
              </w:rPr>
              <w:t xml:space="preserve">• Участь у координаційних зустрічах з проєктною командою УПІ та, за потреби, з GIZ.</w:t>
            </w:r>
          </w:p>
          <w:p w:rsidR="00000000" w:rsidDel="00000000" w:rsidP="00000000" w:rsidRDefault="00000000" w:rsidRPr="00000000" w14:paraId="00000041">
            <w:pPr>
              <w:spacing w:after="60" w:lineRule="auto"/>
              <w:rPr/>
            </w:pPr>
            <w:r w:rsidDel="00000000" w:rsidR="00000000" w:rsidRPr="00000000">
              <w:rPr>
                <w:rtl w:val="0"/>
              </w:rPr>
              <w:t xml:space="preserve">• Участь у івентах та презентація аналітичних матеріалів.</w:t>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f2f2f2" w:val="clear"/>
            <w:tcMar>
              <w:top w:w="60.0" w:type="dxa"/>
              <w:left w:w="100.0" w:type="dxa"/>
              <w:bottom w:w="60.0" w:type="dxa"/>
              <w:right w:w="100.0" w:type="dxa"/>
            </w:tcMar>
          </w:tcPr>
          <w:p w:rsidR="00000000" w:rsidDel="00000000" w:rsidP="00000000" w:rsidRDefault="00000000" w:rsidRPr="00000000" w14:paraId="00000042">
            <w:pPr>
              <w:spacing w:after="60" w:lineRule="auto"/>
              <w:rPr/>
            </w:pPr>
            <w:r w:rsidDel="00000000" w:rsidR="00000000" w:rsidRPr="00000000">
              <w:rPr>
                <w:b w:val="1"/>
                <w:bCs w:val="1"/>
                <w:rtl w:val="0"/>
              </w:rPr>
              <w:t xml:space="preserve">Position 2 — Analyst on EU Integration</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2f2f2" w:val="clear"/>
            <w:tcMar>
              <w:top w:w="60.0" w:type="dxa"/>
              <w:left w:w="100.0" w:type="dxa"/>
              <w:bottom w:w="60.0" w:type="dxa"/>
              <w:right w:w="100.0" w:type="dxa"/>
            </w:tcMar>
          </w:tcPr>
          <w:p w:rsidR="00000000" w:rsidDel="00000000" w:rsidP="00000000" w:rsidRDefault="00000000" w:rsidRPr="00000000" w14:paraId="00000043">
            <w:pPr>
              <w:spacing w:after="60" w:lineRule="auto"/>
              <w:rPr/>
            </w:pPr>
            <w:r w:rsidDel="00000000" w:rsidR="00000000" w:rsidRPr="00000000">
              <w:rPr>
                <w:b w:val="1"/>
                <w:bCs w:val="1"/>
                <w:rtl w:val="0"/>
              </w:rPr>
              <w:t xml:space="preserve">Позиція 2 — Аналітик з питань євроінтеграції</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44">
            <w:pPr>
              <w:spacing w:after="60" w:lineRule="auto"/>
              <w:rPr/>
            </w:pPr>
            <w:r w:rsidDel="00000000" w:rsidR="00000000" w:rsidRPr="00000000">
              <w:rPr>
                <w:rtl w:val="0"/>
              </w:rPr>
              <w:t xml:space="preserve">The analyst shall:</w:t>
            </w:r>
          </w:p>
          <w:p w:rsidR="00000000" w:rsidDel="00000000" w:rsidP="00000000" w:rsidRDefault="00000000" w:rsidRPr="00000000" w14:paraId="00000045">
            <w:pPr>
              <w:spacing w:after="60" w:lineRule="auto"/>
              <w:rPr/>
            </w:pPr>
            <w:r w:rsidDel="00000000" w:rsidR="00000000" w:rsidRPr="00000000">
              <w:rPr>
                <w:rtl w:val="0"/>
              </w:rPr>
              <w:t xml:space="preserve">• Monitor Ukraine's progress on EU acquis alignment, including the Kachka–Kos plan, the Ukraine Facility and the Rule of Law Roadmap;</w:t>
            </w:r>
          </w:p>
          <w:p w:rsidR="00000000" w:rsidDel="00000000" w:rsidP="00000000" w:rsidRDefault="00000000" w:rsidRPr="00000000" w14:paraId="00000046">
            <w:pPr>
              <w:spacing w:after="60" w:lineRule="auto"/>
              <w:rPr/>
            </w:pPr>
            <w:r w:rsidDel="00000000" w:rsidR="00000000" w:rsidRPr="00000000">
              <w:rPr>
                <w:rtl w:val="0"/>
              </w:rPr>
              <w:t xml:space="preserve">• Track relevant EU enlargement reporting and analyse its implications for the Verkhovna Rada's legislative agenda;</w:t>
            </w:r>
          </w:p>
          <w:p w:rsidR="00000000" w:rsidDel="00000000" w:rsidP="00000000" w:rsidRDefault="00000000" w:rsidRPr="00000000" w14:paraId="00000047">
            <w:pPr>
              <w:spacing w:after="60" w:lineRule="auto"/>
              <w:rPr/>
            </w:pPr>
            <w:r w:rsidDel="00000000" w:rsidR="00000000" w:rsidRPr="00000000">
              <w:rPr>
                <w:rtl w:val="0"/>
              </w:rPr>
              <w:t xml:space="preserve">• Prepare thematic policy briefs and contribute to ad hoc policy briefs on EU integration topics;</w:t>
            </w:r>
          </w:p>
          <w:p w:rsidR="00000000" w:rsidDel="00000000" w:rsidP="00000000" w:rsidRDefault="00000000" w:rsidRPr="00000000" w14:paraId="00000048">
            <w:pPr>
              <w:spacing w:after="60" w:lineRule="auto"/>
              <w:rPr/>
            </w:pPr>
            <w:r w:rsidDel="00000000" w:rsidR="00000000" w:rsidRPr="00000000">
              <w:rPr>
                <w:rtl w:val="0"/>
              </w:rPr>
              <w:t xml:space="preserve">• Prepare short monitoring updates on a regular basis;</w:t>
            </w:r>
          </w:p>
          <w:p w:rsidR="00000000" w:rsidDel="00000000" w:rsidP="00000000" w:rsidRDefault="00000000" w:rsidRPr="00000000" w14:paraId="00000049">
            <w:pPr>
              <w:spacing w:after="60" w:lineRule="auto"/>
              <w:rPr/>
            </w:pPr>
            <w:r w:rsidDel="00000000" w:rsidR="00000000" w:rsidRPr="00000000">
              <w:rPr>
                <w:rtl w:val="0"/>
              </w:rPr>
              <w:t xml:space="preserve">• Prepare research papers (topics to be agreed with the Project Manager) analysing an aspect of Ukraine's EU accession progress relevant to the project;</w:t>
            </w:r>
          </w:p>
          <w:p w:rsidR="00000000" w:rsidDel="00000000" w:rsidP="00000000" w:rsidRDefault="00000000" w:rsidRPr="00000000" w14:paraId="0000004A">
            <w:pPr>
              <w:spacing w:after="60" w:lineRule="auto"/>
              <w:rPr/>
            </w:pPr>
            <w:r w:rsidDel="00000000" w:rsidR="00000000" w:rsidRPr="00000000">
              <w:rPr>
                <w:rtl w:val="0"/>
              </w:rPr>
              <w:t xml:space="preserve">• Participate in coordination meetings with the UPI project team and, where relevant, with GIZ.</w:t>
            </w:r>
          </w:p>
          <w:p w:rsidR="00000000" w:rsidDel="00000000" w:rsidP="00000000" w:rsidRDefault="00000000" w:rsidRPr="00000000" w14:paraId="0000004B">
            <w:pPr>
              <w:spacing w:after="60" w:lineRule="auto"/>
              <w:rPr/>
            </w:pPr>
            <w:r w:rsidDel="00000000" w:rsidR="00000000" w:rsidRPr="00000000">
              <w:rPr>
                <w:rtl w:val="0"/>
              </w:rPr>
              <w:t xml:space="preserve">• Participate in events and present the analytical materials.</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4C">
            <w:pPr>
              <w:spacing w:after="60" w:lineRule="auto"/>
              <w:rPr/>
            </w:pPr>
            <w:r w:rsidDel="00000000" w:rsidR="00000000" w:rsidRPr="00000000">
              <w:rPr>
                <w:rtl w:val="0"/>
              </w:rPr>
              <w:t xml:space="preserve">Аналітик виконує такі завдання:</w:t>
            </w:r>
          </w:p>
          <w:p w:rsidR="00000000" w:rsidDel="00000000" w:rsidP="00000000" w:rsidRDefault="00000000" w:rsidRPr="00000000" w14:paraId="0000004D">
            <w:pPr>
              <w:spacing w:after="60" w:lineRule="auto"/>
              <w:rPr/>
            </w:pPr>
            <w:r w:rsidDel="00000000" w:rsidR="00000000" w:rsidRPr="00000000">
              <w:rPr>
                <w:rtl w:val="0"/>
              </w:rPr>
              <w:t xml:space="preserve">• Моніторинг прогресу України щодо наближення до acquis ЄС, у т.ч. плану Качки–Кос, Ukraine Facility та Rule of Law Roadmap;</w:t>
            </w:r>
          </w:p>
          <w:p w:rsidR="00000000" w:rsidDel="00000000" w:rsidP="00000000" w:rsidRDefault="00000000" w:rsidRPr="00000000" w14:paraId="0000004E">
            <w:pPr>
              <w:spacing w:after="60" w:lineRule="auto"/>
              <w:rPr/>
            </w:pPr>
            <w:r w:rsidDel="00000000" w:rsidR="00000000" w:rsidRPr="00000000">
              <w:rPr>
                <w:rtl w:val="0"/>
              </w:rPr>
              <w:t xml:space="preserve">• Відстеження релевантної звітності щодо розширення ЄС та аналіз її наслідків для законодавчого порядку денного Верховної Ради;</w:t>
            </w:r>
          </w:p>
          <w:p w:rsidR="00000000" w:rsidDel="00000000" w:rsidP="00000000" w:rsidRDefault="00000000" w:rsidRPr="00000000" w14:paraId="0000004F">
            <w:pPr>
              <w:spacing w:after="60" w:lineRule="auto"/>
              <w:rPr/>
            </w:pPr>
            <w:r w:rsidDel="00000000" w:rsidR="00000000" w:rsidRPr="00000000">
              <w:rPr>
                <w:rtl w:val="0"/>
              </w:rPr>
              <w:t xml:space="preserve">• Підготовка тематичних policy briefs та участь у підготовці ad hoc policy briefs з питань євроінтеграції;</w:t>
            </w:r>
          </w:p>
          <w:p w:rsidR="00000000" w:rsidDel="00000000" w:rsidP="00000000" w:rsidRDefault="00000000" w:rsidRPr="00000000" w14:paraId="00000050">
            <w:pPr>
              <w:spacing w:after="60" w:lineRule="auto"/>
              <w:rPr/>
            </w:pPr>
            <w:r w:rsidDel="00000000" w:rsidR="00000000" w:rsidRPr="00000000">
              <w:rPr>
                <w:rtl w:val="0"/>
              </w:rPr>
              <w:t xml:space="preserve">• Регулярна підготовка коротких моніторингових оновлень ;</w:t>
            </w:r>
          </w:p>
          <w:p w:rsidR="00000000" w:rsidDel="00000000" w:rsidP="00000000" w:rsidRDefault="00000000" w:rsidRPr="00000000" w14:paraId="00000051">
            <w:pPr>
              <w:spacing w:after="60" w:lineRule="auto"/>
              <w:rPr/>
            </w:pPr>
            <w:r w:rsidDel="00000000" w:rsidR="00000000" w:rsidRPr="00000000">
              <w:rPr>
                <w:rtl w:val="0"/>
              </w:rPr>
              <w:t xml:space="preserve">• Підготовка досліджень з аналізом аспекту прогресу євроінтеграції України, релевантного проєкту, на тему, погоджену з керівником проєкту;</w:t>
            </w:r>
          </w:p>
          <w:p w:rsidR="00000000" w:rsidDel="00000000" w:rsidP="00000000" w:rsidRDefault="00000000" w:rsidRPr="00000000" w14:paraId="00000052">
            <w:pPr>
              <w:spacing w:after="60" w:lineRule="auto"/>
              <w:rPr/>
            </w:pPr>
            <w:r w:rsidDel="00000000" w:rsidR="00000000" w:rsidRPr="00000000">
              <w:rPr>
                <w:rtl w:val="0"/>
              </w:rPr>
              <w:t xml:space="preserve">• Участь у координаційних зустрічах з проєктною командою УПІ та, за потреби, з GIZ.</w:t>
            </w:r>
          </w:p>
          <w:p w:rsidR="00000000" w:rsidDel="00000000" w:rsidP="00000000" w:rsidRDefault="00000000" w:rsidRPr="00000000" w14:paraId="00000053">
            <w:pPr>
              <w:spacing w:after="60" w:lineRule="auto"/>
              <w:rPr/>
            </w:pPr>
            <w:r w:rsidDel="00000000" w:rsidR="00000000" w:rsidRPr="00000000">
              <w:rPr>
                <w:rtl w:val="0"/>
              </w:rPr>
              <w:t xml:space="preserve">• Участь у івентах та презентація аналітичних матеріалів.</w:t>
            </w:r>
          </w:p>
        </w:tc>
      </w:tr>
    </w:tbl>
    <w:p w:rsidR="00000000" w:rsidDel="00000000" w:rsidP="00000000" w:rsidRDefault="00000000" w:rsidRPr="00000000" w14:paraId="00000054">
      <w:pPr>
        <w:spacing w:after="80" w:lineRule="auto"/>
        <w:rPr/>
      </w:pPr>
      <w:r w:rsidDel="00000000" w:rsidR="00000000" w:rsidRPr="00000000">
        <w:rPr>
          <w:rtl w:val="0"/>
        </w:rPr>
      </w:r>
    </w:p>
    <w:tbl>
      <w:tblPr>
        <w:tblStyle w:val="Table5"/>
        <w:tblW w:w="90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30"/>
        <w:gridCol w:w="4530"/>
        <w:tblGridChange w:id="0">
          <w:tblGrid>
            <w:gridCol w:w="4530"/>
            <w:gridCol w:w="4530"/>
          </w:tblGrid>
        </w:tblGridChange>
      </w:tblGrid>
      <w:tr>
        <w:trPr>
          <w:cantSplit w:val="0"/>
          <w:tblHeader w:val="0"/>
        </w:trPr>
        <w:tc>
          <w:tcPr>
            <w:tcBorders>
              <w:top w:color="999999" w:space="0" w:sz="4" w:val="single"/>
              <w:left w:color="999999" w:space="0" w:sz="4" w:val="single"/>
              <w:bottom w:color="999999" w:space="0" w:sz="4" w:val="single"/>
              <w:right w:color="999999" w:space="0" w:sz="4" w:val="single"/>
            </w:tcBorders>
            <w:shd w:fill="d9e2f3" w:val="clear"/>
            <w:tcMar>
              <w:top w:w="60.0" w:type="dxa"/>
              <w:left w:w="100.0" w:type="dxa"/>
              <w:bottom w:w="60.0" w:type="dxa"/>
              <w:right w:w="100.0" w:type="dxa"/>
            </w:tcMar>
          </w:tcPr>
          <w:p w:rsidR="00000000" w:rsidDel="00000000" w:rsidP="00000000" w:rsidRDefault="00000000" w:rsidRPr="00000000" w14:paraId="00000055">
            <w:pPr>
              <w:spacing w:after="60" w:lineRule="auto"/>
              <w:rPr/>
            </w:pPr>
            <w:r w:rsidDel="00000000" w:rsidR="00000000" w:rsidRPr="00000000">
              <w:rPr>
                <w:b w:val="1"/>
                <w:bCs w:val="1"/>
                <w:rtl w:val="0"/>
              </w:rPr>
              <w:t xml:space="preserve">4. Deliverables and reporting</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9e2f3" w:val="clear"/>
            <w:tcMar>
              <w:top w:w="60.0" w:type="dxa"/>
              <w:left w:w="100.0" w:type="dxa"/>
              <w:bottom w:w="60.0" w:type="dxa"/>
              <w:right w:w="100.0" w:type="dxa"/>
            </w:tcMar>
          </w:tcPr>
          <w:p w:rsidR="00000000" w:rsidDel="00000000" w:rsidP="00000000" w:rsidRDefault="00000000" w:rsidRPr="00000000" w14:paraId="00000056">
            <w:pPr>
              <w:spacing w:after="60" w:lineRule="auto"/>
              <w:rPr/>
            </w:pPr>
            <w:r w:rsidDel="00000000" w:rsidR="00000000" w:rsidRPr="00000000">
              <w:rPr>
                <w:b w:val="1"/>
                <w:bCs w:val="1"/>
                <w:rtl w:val="0"/>
              </w:rPr>
              <w:t xml:space="preserve">4. Результати та звітність</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57">
            <w:pPr>
              <w:spacing w:after="60" w:lineRule="auto"/>
              <w:rPr/>
            </w:pPr>
            <w:r w:rsidDel="00000000" w:rsidR="00000000" w:rsidRPr="00000000">
              <w:rPr>
                <w:rtl w:val="0"/>
              </w:rPr>
              <w:t xml:space="preserve">Applicable to both positions (deliverable content differs by focus area as described in Chapter 3):</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58">
            <w:pPr>
              <w:spacing w:after="60" w:lineRule="auto"/>
              <w:rPr/>
            </w:pPr>
            <w:r w:rsidDel="00000000" w:rsidR="00000000" w:rsidRPr="00000000">
              <w:rPr>
                <w:rtl w:val="0"/>
              </w:rPr>
              <w:t xml:space="preserve">Застосовується до обох позицій (зміст результатів відрізняється залежно від напряму, описаного у Розділі 3):</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59">
            <w:pPr>
              <w:spacing w:after="60" w:lineRule="auto"/>
              <w:rPr/>
            </w:pPr>
            <w:r w:rsidDel="00000000" w:rsidR="00000000" w:rsidRPr="00000000">
              <w:rPr>
                <w:rtl w:val="0"/>
              </w:rPr>
              <w:t xml:space="preserve">D1. Short analytical updates on legislation initiatives in parliament</w:t>
            </w:r>
          </w:p>
          <w:p w:rsidR="00000000" w:rsidDel="00000000" w:rsidP="00000000" w:rsidRDefault="00000000" w:rsidRPr="00000000" w14:paraId="0000005A">
            <w:pPr>
              <w:spacing w:after="60" w:lineRule="auto"/>
              <w:rPr/>
            </w:pPr>
            <w:r w:rsidDel="00000000" w:rsidR="00000000" w:rsidRPr="00000000">
              <w:rPr>
                <w:rtl w:val="0"/>
              </w:rPr>
              <w:t xml:space="preserve">Each plenary week (before and after), in editable format (.docx), 1–2 pages each, EN</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5B">
            <w:pPr>
              <w:spacing w:after="60" w:lineRule="auto"/>
              <w:rPr/>
            </w:pPr>
            <w:r w:rsidDel="00000000" w:rsidR="00000000" w:rsidRPr="00000000">
              <w:rPr>
                <w:rtl w:val="0"/>
              </w:rPr>
              <w:t xml:space="preserve">D1. Короткі аналітичні оновлення щодо законодавчих ініціатив в парламенті</w:t>
            </w:r>
          </w:p>
          <w:p w:rsidR="00000000" w:rsidDel="00000000" w:rsidP="00000000" w:rsidRDefault="00000000" w:rsidRPr="00000000" w14:paraId="0000005C">
            <w:pPr>
              <w:spacing w:after="60" w:lineRule="auto"/>
              <w:rPr/>
            </w:pPr>
            <w:r w:rsidDel="00000000" w:rsidR="00000000" w:rsidRPr="00000000">
              <w:rPr>
                <w:rtl w:val="0"/>
              </w:rPr>
              <w:t xml:space="preserve">Кожен парламентський тиждень (до та після), у редагованому форматі (.docx), 1–2 стор. кожне, англ. мовою</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5D">
            <w:pPr>
              <w:spacing w:after="60" w:lineRule="auto"/>
              <w:rPr/>
            </w:pPr>
            <w:r w:rsidDel="00000000" w:rsidR="00000000" w:rsidRPr="00000000">
              <w:rPr>
                <w:rtl w:val="0"/>
              </w:rPr>
              <w:t xml:space="preserve">D2. Ad hoc / thematic policy brief(s)</w:t>
            </w:r>
          </w:p>
          <w:p w:rsidR="00000000" w:rsidDel="00000000" w:rsidP="00000000" w:rsidRDefault="00000000" w:rsidRPr="00000000" w14:paraId="0000005E">
            <w:pPr>
              <w:spacing w:after="60" w:lineRule="auto"/>
              <w:rPr/>
            </w:pPr>
            <w:r w:rsidDel="00000000" w:rsidR="00000000" w:rsidRPr="00000000">
              <w:rPr>
                <w:rtl w:val="0"/>
              </w:rPr>
              <w:t xml:space="preserve">At least 2 over the period of assignment, 3–5 pages each, editable format (.docx, .pdf)</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5F">
            <w:pPr>
              <w:spacing w:after="60" w:lineRule="auto"/>
              <w:rPr/>
            </w:pPr>
            <w:r w:rsidDel="00000000" w:rsidR="00000000" w:rsidRPr="00000000">
              <w:rPr>
                <w:rtl w:val="0"/>
              </w:rPr>
              <w:t xml:space="preserve">D2. Ad hoc / тематичний(і) policy brief(и)</w:t>
            </w:r>
          </w:p>
          <w:p w:rsidR="00000000" w:rsidDel="00000000" w:rsidP="00000000" w:rsidRDefault="00000000" w:rsidRPr="00000000" w14:paraId="00000060">
            <w:pPr>
              <w:spacing w:after="60" w:lineRule="auto"/>
              <w:rPr/>
            </w:pPr>
            <w:r w:rsidDel="00000000" w:rsidR="00000000" w:rsidRPr="00000000">
              <w:rPr>
                <w:rtl w:val="0"/>
              </w:rPr>
              <w:t xml:space="preserve">Не менше 2 за період залучення, 3–5 стор. кожен, редагований формат (.docx, .pdf)</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61">
            <w:pPr>
              <w:spacing w:after="60" w:lineRule="auto"/>
              <w:rPr/>
            </w:pPr>
            <w:r w:rsidDel="00000000" w:rsidR="00000000" w:rsidRPr="00000000">
              <w:rPr>
                <w:rtl w:val="0"/>
              </w:rPr>
              <w:t xml:space="preserve">D3. Research papers on parliamentary affairs and EU integration </w:t>
            </w:r>
          </w:p>
          <w:p w:rsidR="00000000" w:rsidDel="00000000" w:rsidP="00000000" w:rsidRDefault="00000000" w:rsidRPr="00000000" w14:paraId="00000062">
            <w:pPr>
              <w:spacing w:after="60" w:lineRule="auto"/>
              <w:rPr/>
            </w:pPr>
            <w:r w:rsidDel="00000000" w:rsidR="00000000" w:rsidRPr="00000000">
              <w:rPr>
                <w:rtl w:val="0"/>
              </w:rPr>
              <w:t xml:space="preserve">topic agreed with the Project Manager, editable format, EN and UA</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63">
            <w:pPr>
              <w:spacing w:after="60" w:lineRule="auto"/>
              <w:rPr/>
            </w:pPr>
            <w:r w:rsidDel="00000000" w:rsidR="00000000" w:rsidRPr="00000000">
              <w:rPr>
                <w:rtl w:val="0"/>
              </w:rPr>
              <w:t xml:space="preserve">D3. Дослідження з парламентських справ та інтеграції в ЄС</w:t>
            </w:r>
          </w:p>
          <w:p w:rsidR="00000000" w:rsidDel="00000000" w:rsidP="00000000" w:rsidRDefault="00000000" w:rsidRPr="00000000" w14:paraId="00000064">
            <w:pPr>
              <w:spacing w:after="60" w:lineRule="auto"/>
              <w:rPr/>
            </w:pPr>
            <w:r w:rsidDel="00000000" w:rsidR="00000000" w:rsidRPr="00000000">
              <w:rPr>
                <w:rtl w:val="0"/>
              </w:rPr>
              <w:t xml:space="preserve">тема погоджена з керівником проєкту, редагований формат, англійською та українськими мовами </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65">
            <w:pPr>
              <w:spacing w:after="60" w:lineRule="auto"/>
              <w:rPr/>
            </w:pPr>
            <w:r w:rsidDel="00000000" w:rsidR="00000000" w:rsidRPr="00000000">
              <w:rPr>
                <w:rtl w:val="0"/>
              </w:rPr>
              <w:t xml:space="preserve">D4. Input to the legislative/acquis monitoring matrix</w:t>
            </w:r>
          </w:p>
          <w:p w:rsidR="00000000" w:rsidDel="00000000" w:rsidP="00000000" w:rsidRDefault="00000000" w:rsidRPr="00000000" w14:paraId="00000066">
            <w:pPr>
              <w:spacing w:after="60" w:lineRule="auto"/>
              <w:rPr/>
            </w:pPr>
            <w:r w:rsidDel="00000000" w:rsidR="00000000" w:rsidRPr="00000000">
              <w:rPr>
                <w:rtl w:val="0"/>
              </w:rPr>
              <w:t xml:space="preserve">Ongoing, as per the format used by the ACQUIS-UA 2.0 project team</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67">
            <w:pPr>
              <w:spacing w:after="60" w:lineRule="auto"/>
              <w:rPr/>
            </w:pPr>
            <w:r w:rsidDel="00000000" w:rsidR="00000000" w:rsidRPr="00000000">
              <w:rPr>
                <w:rtl w:val="0"/>
              </w:rPr>
              <w:t xml:space="preserve">D4. Внесок до матриці законодавчого моніторингу / моніторингу acquis</w:t>
            </w:r>
          </w:p>
          <w:p w:rsidR="00000000" w:rsidDel="00000000" w:rsidP="00000000" w:rsidRDefault="00000000" w:rsidRPr="00000000" w14:paraId="00000068">
            <w:pPr>
              <w:spacing w:after="60" w:lineRule="auto"/>
              <w:rPr/>
            </w:pPr>
            <w:r w:rsidDel="00000000" w:rsidR="00000000" w:rsidRPr="00000000">
              <w:rPr>
                <w:rtl w:val="0"/>
              </w:rPr>
              <w:t xml:space="preserve">Постійно, за форматом, що використовується командою проєкту ACQUIS-UA 2.0</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69">
            <w:pPr>
              <w:spacing w:after="60" w:lineRule="auto"/>
              <w:rPr/>
            </w:pPr>
            <w:r w:rsidDel="00000000" w:rsidR="00000000" w:rsidRPr="00000000">
              <w:rPr>
                <w:rtl w:val="0"/>
              </w:rPr>
              <w:t xml:space="preserve">D5. Flash updates on important changes in VRU (crucial voting, changes in parliament, bottlenecks on the level of committees, etc) </w:t>
            </w:r>
          </w:p>
          <w:p w:rsidR="00000000" w:rsidDel="00000000" w:rsidP="00000000" w:rsidRDefault="00000000" w:rsidRPr="00000000" w14:paraId="0000006A">
            <w:pPr>
              <w:spacing w:after="60" w:lineRule="auto"/>
              <w:rPr/>
            </w:pPr>
            <w:r w:rsidDel="00000000" w:rsidR="00000000" w:rsidRPr="00000000">
              <w:rPr>
                <w:rtl w:val="0"/>
              </w:rPr>
              <w:t xml:space="preserve">Permanently, in editable format (.docx), in English</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6B">
            <w:pPr>
              <w:spacing w:after="60" w:lineRule="auto"/>
              <w:rPr/>
            </w:pPr>
            <w:r w:rsidDel="00000000" w:rsidR="00000000" w:rsidRPr="00000000">
              <w:rPr>
                <w:rtl w:val="0"/>
              </w:rPr>
              <w:t xml:space="preserve">D5. Флеш апдейти щодо важливих змін (важливі голосування, зміни в парламенті, bottlenecks на рівні комітетів)</w:t>
            </w:r>
          </w:p>
          <w:p w:rsidR="00000000" w:rsidDel="00000000" w:rsidP="00000000" w:rsidRDefault="00000000" w:rsidRPr="00000000" w14:paraId="0000006C">
            <w:pPr>
              <w:spacing w:after="60" w:lineRule="auto"/>
              <w:rPr/>
            </w:pPr>
            <w:r w:rsidDel="00000000" w:rsidR="00000000" w:rsidRPr="00000000">
              <w:rPr>
                <w:rtl w:val="0"/>
              </w:rPr>
              <w:t xml:space="preserve">Постійно,у редагованому форматі (.docx), англ. мовою</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6D">
            <w:pPr>
              <w:spacing w:after="60" w:lineRule="auto"/>
              <w:rPr/>
            </w:pPr>
            <w:r w:rsidDel="00000000" w:rsidR="00000000" w:rsidRPr="00000000">
              <w:rPr>
                <w:rtl w:val="0"/>
              </w:rPr>
              <w:t xml:space="preserve">All deliverables are submitted to the Project Manager of ACQUIS-UA 2.0 and are subject to UPI's review and, where relevant, GIZ's feedback before final acceptance.</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6E">
            <w:pPr>
              <w:spacing w:after="60" w:lineRule="auto"/>
              <w:rPr/>
            </w:pPr>
            <w:r w:rsidDel="00000000" w:rsidR="00000000" w:rsidRPr="00000000">
              <w:rPr>
                <w:rtl w:val="0"/>
              </w:rPr>
              <w:t xml:space="preserve">Усі результати подаються керівнику проєкту ACQUIS-UA 2.0 і підлягають перегляду з боку УПІ та, за потреби, врахуванню зауважень GIZ перед остаточним прийняттям.</w:t>
            </w:r>
          </w:p>
        </w:tc>
      </w:tr>
    </w:tbl>
    <w:p w:rsidR="00000000" w:rsidDel="00000000" w:rsidP="00000000" w:rsidRDefault="00000000" w:rsidRPr="00000000" w14:paraId="0000006F">
      <w:pPr>
        <w:spacing w:after="80" w:lineRule="auto"/>
        <w:rPr/>
      </w:pPr>
      <w:r w:rsidDel="00000000" w:rsidR="00000000" w:rsidRPr="00000000">
        <w:rPr>
          <w:rtl w:val="0"/>
        </w:rPr>
      </w:r>
    </w:p>
    <w:tbl>
      <w:tblPr>
        <w:tblStyle w:val="Table6"/>
        <w:tblW w:w="90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30"/>
        <w:gridCol w:w="4530"/>
        <w:tblGridChange w:id="0">
          <w:tblGrid>
            <w:gridCol w:w="4530"/>
            <w:gridCol w:w="4530"/>
          </w:tblGrid>
        </w:tblGridChange>
      </w:tblGrid>
      <w:tr>
        <w:trPr>
          <w:cantSplit w:val="0"/>
          <w:tblHeader w:val="0"/>
        </w:trPr>
        <w:tc>
          <w:tcPr>
            <w:tcBorders>
              <w:top w:color="999999" w:space="0" w:sz="4" w:val="single"/>
              <w:left w:color="999999" w:space="0" w:sz="4" w:val="single"/>
              <w:bottom w:color="999999" w:space="0" w:sz="4" w:val="single"/>
              <w:right w:color="999999" w:space="0" w:sz="4" w:val="single"/>
            </w:tcBorders>
            <w:shd w:fill="d9e2f3" w:val="clear"/>
            <w:tcMar>
              <w:top w:w="60.0" w:type="dxa"/>
              <w:left w:w="100.0" w:type="dxa"/>
              <w:bottom w:w="60.0" w:type="dxa"/>
              <w:right w:w="100.0" w:type="dxa"/>
            </w:tcMar>
          </w:tcPr>
          <w:p w:rsidR="00000000" w:rsidDel="00000000" w:rsidP="00000000" w:rsidRDefault="00000000" w:rsidRPr="00000000" w14:paraId="00000070">
            <w:pPr>
              <w:spacing w:after="60" w:lineRule="auto"/>
              <w:rPr/>
            </w:pPr>
            <w:r w:rsidDel="00000000" w:rsidR="00000000" w:rsidRPr="00000000">
              <w:rPr>
                <w:b w:val="1"/>
                <w:bCs w:val="1"/>
                <w:rtl w:val="0"/>
              </w:rPr>
              <w:t xml:space="preserve">5. Period of assignment</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9e2f3" w:val="clear"/>
            <w:tcMar>
              <w:top w:w="60.0" w:type="dxa"/>
              <w:left w:w="100.0" w:type="dxa"/>
              <w:bottom w:w="60.0" w:type="dxa"/>
              <w:right w:w="100.0" w:type="dxa"/>
            </w:tcMar>
          </w:tcPr>
          <w:p w:rsidR="00000000" w:rsidDel="00000000" w:rsidP="00000000" w:rsidRDefault="00000000" w:rsidRPr="00000000" w14:paraId="00000071">
            <w:pPr>
              <w:spacing w:after="60" w:lineRule="auto"/>
              <w:rPr/>
            </w:pPr>
            <w:r w:rsidDel="00000000" w:rsidR="00000000" w:rsidRPr="00000000">
              <w:rPr>
                <w:b w:val="1"/>
                <w:bCs w:val="1"/>
                <w:rtl w:val="0"/>
              </w:rPr>
              <w:t xml:space="preserve">5. Період залучення</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72">
            <w:pPr>
              <w:spacing w:after="60" w:lineRule="auto"/>
              <w:rPr/>
            </w:pPr>
            <w:r w:rsidDel="00000000" w:rsidR="00000000" w:rsidRPr="00000000">
              <w:rPr>
                <w:rtl w:val="0"/>
              </w:rPr>
              <w:t xml:space="preserve">Indicative period: 12 August 2026 – 31 December 2026, with possible extension subject to project needs, availability of donor funding and mutual agreement between UPI and the expert. There is no contractual obligation to use up the full number of expert-days; the number of days agreed in the contract represents a maximum amount.</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73">
            <w:pPr>
              <w:spacing w:after="60" w:lineRule="auto"/>
              <w:rPr/>
            </w:pPr>
            <w:r w:rsidDel="00000000" w:rsidR="00000000" w:rsidRPr="00000000">
              <w:rPr>
                <w:rtl w:val="0"/>
              </w:rPr>
              <w:t xml:space="preserve">Орієнтовний період: 12.08.2026 – 31.12.2026, з можливістю продовження за наявності потреби проєкту, донорського фінансування та за взаємною згодою УПІ і експерта. Немає договірного зобов'язання використовувати повну кількість експерт-днів; погоджена в договорі кількість днів є максимальною величиною.</w:t>
            </w:r>
          </w:p>
        </w:tc>
      </w:tr>
    </w:tbl>
    <w:p w:rsidR="00000000" w:rsidDel="00000000" w:rsidP="00000000" w:rsidRDefault="00000000" w:rsidRPr="00000000" w14:paraId="00000074">
      <w:pPr>
        <w:spacing w:after="80" w:lineRule="auto"/>
        <w:rPr/>
      </w:pPr>
      <w:r w:rsidDel="00000000" w:rsidR="00000000" w:rsidRPr="00000000">
        <w:rPr>
          <w:rtl w:val="0"/>
        </w:rPr>
      </w:r>
    </w:p>
    <w:tbl>
      <w:tblPr>
        <w:tblStyle w:val="Table7"/>
        <w:tblW w:w="90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30"/>
        <w:gridCol w:w="4530"/>
        <w:tblGridChange w:id="0">
          <w:tblGrid>
            <w:gridCol w:w="4530"/>
            <w:gridCol w:w="4530"/>
          </w:tblGrid>
        </w:tblGridChange>
      </w:tblGrid>
      <w:tr>
        <w:trPr>
          <w:cantSplit w:val="0"/>
          <w:tblHeader w:val="0"/>
        </w:trPr>
        <w:tc>
          <w:tcPr>
            <w:tcBorders>
              <w:top w:color="999999" w:space="0" w:sz="4" w:val="single"/>
              <w:left w:color="999999" w:space="0" w:sz="4" w:val="single"/>
              <w:bottom w:color="999999" w:space="0" w:sz="4" w:val="single"/>
              <w:right w:color="999999" w:space="0" w:sz="4" w:val="single"/>
            </w:tcBorders>
            <w:shd w:fill="d9e2f3" w:val="clear"/>
            <w:tcMar>
              <w:top w:w="60.0" w:type="dxa"/>
              <w:left w:w="100.0" w:type="dxa"/>
              <w:bottom w:w="60.0" w:type="dxa"/>
              <w:right w:w="100.0" w:type="dxa"/>
            </w:tcMar>
          </w:tcPr>
          <w:p w:rsidR="00000000" w:rsidDel="00000000" w:rsidP="00000000" w:rsidRDefault="00000000" w:rsidRPr="00000000" w14:paraId="00000075">
            <w:pPr>
              <w:spacing w:after="60" w:lineRule="auto"/>
              <w:rPr/>
            </w:pPr>
            <w:r w:rsidDel="00000000" w:rsidR="00000000" w:rsidRPr="00000000">
              <w:rPr>
                <w:b w:val="1"/>
                <w:bCs w:val="1"/>
                <w:rtl w:val="0"/>
              </w:rPr>
              <w:t xml:space="preserve">6. Required qualifications</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9e2f3" w:val="clear"/>
            <w:tcMar>
              <w:top w:w="60.0" w:type="dxa"/>
              <w:left w:w="100.0" w:type="dxa"/>
              <w:bottom w:w="60.0" w:type="dxa"/>
              <w:right w:w="100.0" w:type="dxa"/>
            </w:tcMar>
          </w:tcPr>
          <w:p w:rsidR="00000000" w:rsidDel="00000000" w:rsidP="00000000" w:rsidRDefault="00000000" w:rsidRPr="00000000" w14:paraId="00000076">
            <w:pPr>
              <w:spacing w:after="60" w:lineRule="auto"/>
              <w:rPr/>
            </w:pPr>
            <w:r w:rsidDel="00000000" w:rsidR="00000000" w:rsidRPr="00000000">
              <w:rPr>
                <w:b w:val="1"/>
                <w:bCs w:val="1"/>
                <w:rtl w:val="0"/>
              </w:rPr>
              <w:t xml:space="preserve">6. Вимоги до кваліфікації</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77">
            <w:pPr>
              <w:spacing w:after="60" w:lineRule="auto"/>
              <w:rPr/>
            </w:pPr>
            <w:r w:rsidDel="00000000" w:rsidR="00000000" w:rsidRPr="00000000">
              <w:rPr>
                <w:rtl w:val="0"/>
              </w:rPr>
              <w:t xml:space="preserve">The qualifications below represent the requirements for reaching the maximum number of points in the technical assessment (Annex 4). Each criterion is scored individually.</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78">
            <w:pPr>
              <w:spacing w:after="60" w:lineRule="auto"/>
              <w:rPr/>
            </w:pPr>
            <w:r w:rsidDel="00000000" w:rsidR="00000000" w:rsidRPr="00000000">
              <w:rPr>
                <w:rtl w:val="0"/>
              </w:rPr>
              <w:t xml:space="preserve">Наведені нижче вимоги до кваліфікації відповідають умовам отримання максимальної кількості балів у технічній оцінці (Додаток 4). Кожен критерій оцінюється окремо.</w:t>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f2f2f2" w:val="clear"/>
            <w:tcMar>
              <w:top w:w="60.0" w:type="dxa"/>
              <w:left w:w="100.0" w:type="dxa"/>
              <w:bottom w:w="60.0" w:type="dxa"/>
              <w:right w:w="100.0" w:type="dxa"/>
            </w:tcMar>
          </w:tcPr>
          <w:p w:rsidR="00000000" w:rsidDel="00000000" w:rsidP="00000000" w:rsidRDefault="00000000" w:rsidRPr="00000000" w14:paraId="00000079">
            <w:pPr>
              <w:spacing w:after="60" w:lineRule="auto"/>
              <w:rPr/>
            </w:pPr>
            <w:r w:rsidDel="00000000" w:rsidR="00000000" w:rsidRPr="00000000">
              <w:rPr>
                <w:b w:val="1"/>
                <w:bCs w:val="1"/>
                <w:rtl w:val="0"/>
              </w:rPr>
              <w:t xml:space="preserve">Position 1 — Expert on Parliamentary Affairs</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2f2f2" w:val="clear"/>
            <w:tcMar>
              <w:top w:w="60.0" w:type="dxa"/>
              <w:left w:w="100.0" w:type="dxa"/>
              <w:bottom w:w="60.0" w:type="dxa"/>
              <w:right w:w="100.0" w:type="dxa"/>
            </w:tcMar>
          </w:tcPr>
          <w:p w:rsidR="00000000" w:rsidDel="00000000" w:rsidP="00000000" w:rsidRDefault="00000000" w:rsidRPr="00000000" w14:paraId="0000007A">
            <w:pPr>
              <w:spacing w:after="60" w:lineRule="auto"/>
              <w:rPr/>
            </w:pPr>
            <w:r w:rsidDel="00000000" w:rsidR="00000000" w:rsidRPr="00000000">
              <w:rPr>
                <w:b w:val="1"/>
                <w:bCs w:val="1"/>
                <w:rtl w:val="0"/>
              </w:rPr>
              <w:t xml:space="preserve">Позиція 1 — Експерт з парламентських справ</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7B">
            <w:pPr>
              <w:spacing w:after="60" w:lineRule="auto"/>
              <w:rPr/>
            </w:pPr>
            <w:r w:rsidDel="00000000" w:rsidR="00000000" w:rsidRPr="00000000">
              <w:rPr>
                <w:rtl w:val="0"/>
              </w:rPr>
              <w:t xml:space="preserve">Education: University degree (Master's or equivalent) in Law, Political Science, Public Administration or a related field.</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7C">
            <w:pPr>
              <w:spacing w:after="60" w:lineRule="auto"/>
              <w:rPr/>
            </w:pPr>
            <w:r w:rsidDel="00000000" w:rsidR="00000000" w:rsidRPr="00000000">
              <w:rPr>
                <w:rtl w:val="0"/>
              </w:rPr>
              <w:t xml:space="preserve">Освіта: вища освіта (магістр або еквівалент) за спеціальністю право, політологія, публічне адміністрування або суміжна галузь.</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7D">
            <w:pPr>
              <w:spacing w:after="60" w:lineRule="auto"/>
              <w:rPr/>
            </w:pPr>
            <w:r w:rsidDel="00000000" w:rsidR="00000000" w:rsidRPr="00000000">
              <w:rPr>
                <w:rtl w:val="0"/>
              </w:rPr>
              <w:t xml:space="preserve">Language: Fluent Ukrainian; English at least B2 (CEFR).</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7E">
            <w:pPr>
              <w:spacing w:after="60" w:lineRule="auto"/>
              <w:rPr/>
            </w:pPr>
            <w:r w:rsidDel="00000000" w:rsidR="00000000" w:rsidRPr="00000000">
              <w:rPr>
                <w:rtl w:val="0"/>
              </w:rPr>
              <w:t xml:space="preserve">Мова: вільне володіння українською мовою; англійська — не нижче рівня B2 (CEFR).</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7F">
            <w:pPr>
              <w:spacing w:after="60" w:lineRule="auto"/>
              <w:rPr/>
            </w:pPr>
            <w:r w:rsidDel="00000000" w:rsidR="00000000" w:rsidRPr="00000000">
              <w:rPr>
                <w:rtl w:val="0"/>
              </w:rPr>
              <w:t xml:space="preserve">General professional experience: at least 3 years of professional experience in parliamentary/legislative affairs, public policy analysis or legal analysis.</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80">
            <w:pPr>
              <w:spacing w:after="60" w:lineRule="auto"/>
              <w:rPr/>
            </w:pPr>
            <w:r w:rsidDel="00000000" w:rsidR="00000000" w:rsidRPr="00000000">
              <w:rPr>
                <w:rtl w:val="0"/>
              </w:rPr>
              <w:t xml:space="preserve">Загальний професійний досвід: не менше 3 років професійного досвіду у сфері парламентських/законодавчих справ, аналізу публічної політики або юридичного аналізу.</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81">
            <w:pPr>
              <w:spacing w:after="60" w:lineRule="auto"/>
              <w:rPr/>
            </w:pPr>
            <w:r w:rsidDel="00000000" w:rsidR="00000000" w:rsidRPr="00000000">
              <w:rPr>
                <w:rtl w:val="0"/>
              </w:rPr>
              <w:t xml:space="preserve">Specific professional experience: at least 2 years of direct experience with the work of the Verkhovna Rada (legislative process, committee work, parliamentary reform monitoring).</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82">
            <w:pPr>
              <w:spacing w:after="60" w:lineRule="auto"/>
              <w:rPr/>
            </w:pPr>
            <w:r w:rsidDel="00000000" w:rsidR="00000000" w:rsidRPr="00000000">
              <w:rPr>
                <w:rtl w:val="0"/>
              </w:rPr>
              <w:t xml:space="preserve">Спеціальний професійний досвід: не менше 2 років безпосереднього досвіду роботи з діяльністю Верховної Ради України (законодавчий процес, робота комітетів, моніторинг парламентської реформи).</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83">
            <w:pPr>
              <w:spacing w:after="60" w:lineRule="auto"/>
              <w:rPr/>
            </w:pPr>
            <w:r w:rsidDel="00000000" w:rsidR="00000000" w:rsidRPr="00000000">
              <w:rPr>
                <w:rtl w:val="0"/>
              </w:rPr>
              <w:t xml:space="preserve">Regional experience: experience working with Ukrainian state institutions.</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84">
            <w:pPr>
              <w:spacing w:after="60" w:lineRule="auto"/>
              <w:rPr/>
            </w:pPr>
            <w:r w:rsidDel="00000000" w:rsidR="00000000" w:rsidRPr="00000000">
              <w:rPr>
                <w:rtl w:val="0"/>
              </w:rPr>
              <w:t xml:space="preserve">Регіональний досвід: досвід роботи з державними інституціями України.</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85">
            <w:pPr>
              <w:spacing w:after="60" w:lineRule="auto"/>
              <w:rPr/>
            </w:pPr>
            <w:r w:rsidDel="00000000" w:rsidR="00000000" w:rsidRPr="00000000">
              <w:rPr>
                <w:rtl w:val="0"/>
              </w:rPr>
              <w:t xml:space="preserve">Development cooperation experience: experience in donor-funded projects (GIZ, EU or other international partners).</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86">
            <w:pPr>
              <w:spacing w:after="60" w:lineRule="auto"/>
              <w:rPr/>
            </w:pPr>
            <w:r w:rsidDel="00000000" w:rsidR="00000000" w:rsidRPr="00000000">
              <w:rPr>
                <w:rtl w:val="0"/>
              </w:rPr>
              <w:t xml:space="preserve">Досвід у сфері міжнародної технічної допомоги: досвід роботи в донорських проєктах (GIZ, ЄС чи інші міжнародні партнери).</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87">
            <w:pPr>
              <w:spacing w:after="60" w:lineRule="auto"/>
              <w:rPr/>
            </w:pPr>
            <w:r w:rsidDel="00000000" w:rsidR="00000000" w:rsidRPr="00000000">
              <w:rPr>
                <w:rtl w:val="0"/>
              </w:rPr>
              <w:t xml:space="preserve">Other: familiarity with the mandates of NABU, SAPO, NACP and HACC, the Rule of Law Roadmap, FDI Roadmap</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88">
            <w:pPr>
              <w:spacing w:after="60" w:lineRule="auto"/>
              <w:rPr/>
            </w:pPr>
            <w:r w:rsidDel="00000000" w:rsidR="00000000" w:rsidRPr="00000000">
              <w:rPr>
                <w:rtl w:val="0"/>
              </w:rPr>
              <w:t xml:space="preserve">Інше: обізнаність з мандатами НАБУ, САП, НАЗК і ВАКС, Rule of Law Roadmap , FDI Roadmap</w:t>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f2f2f2" w:val="clear"/>
            <w:tcMar>
              <w:top w:w="60.0" w:type="dxa"/>
              <w:left w:w="100.0" w:type="dxa"/>
              <w:bottom w:w="60.0" w:type="dxa"/>
              <w:right w:w="100.0" w:type="dxa"/>
            </w:tcMar>
          </w:tcPr>
          <w:p w:rsidR="00000000" w:rsidDel="00000000" w:rsidP="00000000" w:rsidRDefault="00000000" w:rsidRPr="00000000" w14:paraId="00000089">
            <w:pPr>
              <w:spacing w:after="60" w:lineRule="auto"/>
              <w:rPr/>
            </w:pPr>
            <w:r w:rsidDel="00000000" w:rsidR="00000000" w:rsidRPr="00000000">
              <w:rPr>
                <w:b w:val="1"/>
                <w:bCs w:val="1"/>
                <w:rtl w:val="0"/>
              </w:rPr>
              <w:t xml:space="preserve">Position 2 — Analyst on EU Integration</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f2f2f2" w:val="clear"/>
            <w:tcMar>
              <w:top w:w="60.0" w:type="dxa"/>
              <w:left w:w="100.0" w:type="dxa"/>
              <w:bottom w:w="60.0" w:type="dxa"/>
              <w:right w:w="100.0" w:type="dxa"/>
            </w:tcMar>
          </w:tcPr>
          <w:p w:rsidR="00000000" w:rsidDel="00000000" w:rsidP="00000000" w:rsidRDefault="00000000" w:rsidRPr="00000000" w14:paraId="0000008A">
            <w:pPr>
              <w:spacing w:after="60" w:lineRule="auto"/>
              <w:rPr/>
            </w:pPr>
            <w:r w:rsidDel="00000000" w:rsidR="00000000" w:rsidRPr="00000000">
              <w:rPr>
                <w:b w:val="1"/>
                <w:bCs w:val="1"/>
                <w:rtl w:val="0"/>
              </w:rPr>
              <w:t xml:space="preserve">Позиція 2 — Аналітик з питань євроінтеграції</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8B">
            <w:pPr>
              <w:spacing w:after="60" w:lineRule="auto"/>
              <w:rPr/>
            </w:pPr>
            <w:r w:rsidDel="00000000" w:rsidR="00000000" w:rsidRPr="00000000">
              <w:rPr>
                <w:rtl w:val="0"/>
              </w:rPr>
              <w:t xml:space="preserve">Education: University degree (Master's or equivalent) in European Studies, Law, International Relations, Economics or a related field.</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8C">
            <w:pPr>
              <w:spacing w:after="60" w:lineRule="auto"/>
              <w:rPr/>
            </w:pPr>
            <w:r w:rsidDel="00000000" w:rsidR="00000000" w:rsidRPr="00000000">
              <w:rPr>
                <w:rtl w:val="0"/>
              </w:rPr>
              <w:t xml:space="preserve">Освіта: вища освіта (магістр або еквівалент) за спеціальністю європейські студії, право, міжнародні відносини, економіка або суміжна галузь.</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8D">
            <w:pPr>
              <w:spacing w:after="60" w:lineRule="auto"/>
              <w:rPr/>
            </w:pPr>
            <w:r w:rsidDel="00000000" w:rsidR="00000000" w:rsidRPr="00000000">
              <w:rPr>
                <w:rtl w:val="0"/>
              </w:rPr>
              <w:t xml:space="preserve">Language: Fluent Ukrainian; English at least B2 (CEFR).</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8E">
            <w:pPr>
              <w:spacing w:after="60" w:lineRule="auto"/>
              <w:rPr/>
            </w:pPr>
            <w:r w:rsidDel="00000000" w:rsidR="00000000" w:rsidRPr="00000000">
              <w:rPr>
                <w:rtl w:val="0"/>
              </w:rPr>
              <w:t xml:space="preserve">Мова: вільне володіння українською мовою; англійська — не нижче рівня B2 (CEFR).</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8F">
            <w:pPr>
              <w:spacing w:after="60" w:lineRule="auto"/>
              <w:rPr/>
            </w:pPr>
            <w:r w:rsidDel="00000000" w:rsidR="00000000" w:rsidRPr="00000000">
              <w:rPr>
                <w:rtl w:val="0"/>
              </w:rPr>
              <w:t xml:space="preserve">General professional experience: at least 3 years of professional experience in EU integration/accession analysis or public policy research.</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90">
            <w:pPr>
              <w:spacing w:after="60" w:lineRule="auto"/>
              <w:rPr/>
            </w:pPr>
            <w:r w:rsidDel="00000000" w:rsidR="00000000" w:rsidRPr="00000000">
              <w:rPr>
                <w:rtl w:val="0"/>
              </w:rPr>
              <w:t xml:space="preserve">Загальний професійний досвід: не менше 3 років професійного досвіду в аналізі євроінтеграції/вступу до ЄС або дослідженнях публічної політики.</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91">
            <w:pPr>
              <w:spacing w:after="60" w:lineRule="auto"/>
              <w:rPr/>
            </w:pPr>
            <w:r w:rsidDel="00000000" w:rsidR="00000000" w:rsidRPr="00000000">
              <w:rPr>
                <w:rtl w:val="0"/>
              </w:rPr>
              <w:t xml:space="preserve">Specific professional experience: at least 2 years of experience analysing EU acquis alignment, Ukraine Facility, Rule of Law Roadmap or the Kachka–Kos plan.</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92">
            <w:pPr>
              <w:spacing w:after="60" w:lineRule="auto"/>
              <w:rPr/>
            </w:pPr>
            <w:r w:rsidDel="00000000" w:rsidR="00000000" w:rsidRPr="00000000">
              <w:rPr>
                <w:rtl w:val="0"/>
              </w:rPr>
              <w:t xml:space="preserve">Спеціальний професійний досвід: не менше 2 років досвіду аналізу наближення до acquis ЄС, Ukraine Facility, Rule of Law Roadmap або плану Качки–Кос.</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93">
            <w:pPr>
              <w:spacing w:after="60" w:lineRule="auto"/>
              <w:rPr/>
            </w:pPr>
            <w:r w:rsidDel="00000000" w:rsidR="00000000" w:rsidRPr="00000000">
              <w:rPr>
                <w:rtl w:val="0"/>
              </w:rPr>
              <w:t xml:space="preserve">Regional experience: experience working with Ukrainian and/or EU institutional frameworks.</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94">
            <w:pPr>
              <w:spacing w:after="60" w:lineRule="auto"/>
              <w:rPr/>
            </w:pPr>
            <w:r w:rsidDel="00000000" w:rsidR="00000000" w:rsidRPr="00000000">
              <w:rPr>
                <w:rtl w:val="0"/>
              </w:rPr>
              <w:t xml:space="preserve">Регіональний досвід: досвід роботи з українськими та/або інституціями ЄС.</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95">
            <w:pPr>
              <w:spacing w:after="60" w:lineRule="auto"/>
              <w:rPr/>
            </w:pPr>
            <w:r w:rsidDel="00000000" w:rsidR="00000000" w:rsidRPr="00000000">
              <w:rPr>
                <w:rtl w:val="0"/>
              </w:rPr>
              <w:t xml:space="preserve">Development cooperation experience: experience in donor-funded EU accession support projects.</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96">
            <w:pPr>
              <w:spacing w:after="60" w:lineRule="auto"/>
              <w:rPr/>
            </w:pPr>
            <w:r w:rsidDel="00000000" w:rsidR="00000000" w:rsidRPr="00000000">
              <w:rPr>
                <w:rtl w:val="0"/>
              </w:rPr>
              <w:t xml:space="preserve">Досвід у сфері міжнародної технічної допомоги: досвід роботи в донорських проєктах підтримки євроінтеграції.</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97">
            <w:pPr>
              <w:spacing w:after="60" w:lineRule="auto"/>
              <w:rPr/>
            </w:pPr>
            <w:r w:rsidDel="00000000" w:rsidR="00000000" w:rsidRPr="00000000">
              <w:rPr>
                <w:rtl w:val="0"/>
              </w:rPr>
              <w:t xml:space="preserve">Other: familiarity with official monitoring sources and analytical organisations.</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98">
            <w:pPr>
              <w:spacing w:after="60" w:lineRule="auto"/>
              <w:rPr/>
            </w:pPr>
            <w:r w:rsidDel="00000000" w:rsidR="00000000" w:rsidRPr="00000000">
              <w:rPr>
                <w:rtl w:val="0"/>
              </w:rPr>
              <w:t xml:space="preserve">Інше: обізнаність з офіційними джерелами моніторингу та аналітичними організаціями.</w:t>
            </w:r>
          </w:p>
        </w:tc>
      </w:tr>
    </w:tbl>
    <w:p w:rsidR="00000000" w:rsidDel="00000000" w:rsidP="00000000" w:rsidRDefault="00000000" w:rsidRPr="00000000" w14:paraId="00000099">
      <w:pPr>
        <w:spacing w:after="80" w:lineRule="auto"/>
        <w:rPr/>
      </w:pPr>
      <w:r w:rsidDel="00000000" w:rsidR="00000000" w:rsidRPr="00000000">
        <w:rPr>
          <w:rtl w:val="0"/>
        </w:rPr>
      </w:r>
    </w:p>
    <w:tbl>
      <w:tblPr>
        <w:tblStyle w:val="Table8"/>
        <w:tblW w:w="90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30"/>
        <w:gridCol w:w="4530"/>
        <w:tblGridChange w:id="0">
          <w:tblGrid>
            <w:gridCol w:w="4530"/>
            <w:gridCol w:w="4530"/>
          </w:tblGrid>
        </w:tblGridChange>
      </w:tblGrid>
      <w:tr>
        <w:trPr>
          <w:cantSplit w:val="0"/>
          <w:tblHeader w:val="0"/>
        </w:trPr>
        <w:tc>
          <w:tcPr>
            <w:tcBorders>
              <w:top w:color="999999" w:space="0" w:sz="4" w:val="single"/>
              <w:left w:color="999999" w:space="0" w:sz="4" w:val="single"/>
              <w:bottom w:color="999999" w:space="0" w:sz="4" w:val="single"/>
              <w:right w:color="999999" w:space="0" w:sz="4" w:val="single"/>
            </w:tcBorders>
            <w:shd w:fill="d9e2f3" w:val="clear"/>
            <w:tcMar>
              <w:top w:w="60.0" w:type="dxa"/>
              <w:left w:w="100.0" w:type="dxa"/>
              <w:bottom w:w="60.0" w:type="dxa"/>
              <w:right w:w="100.0" w:type="dxa"/>
            </w:tcMar>
          </w:tcPr>
          <w:p w:rsidR="00000000" w:rsidDel="00000000" w:rsidP="00000000" w:rsidRDefault="00000000" w:rsidRPr="00000000" w14:paraId="0000009A">
            <w:pPr>
              <w:spacing w:after="60" w:lineRule="auto"/>
              <w:rPr/>
            </w:pPr>
            <w:r w:rsidDel="00000000" w:rsidR="00000000" w:rsidRPr="00000000">
              <w:rPr>
                <w:b w:val="1"/>
                <w:bCs w:val="1"/>
                <w:rtl w:val="0"/>
              </w:rPr>
              <w:t xml:space="preserve">7. Costing requirements</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9e2f3" w:val="clear"/>
            <w:tcMar>
              <w:top w:w="60.0" w:type="dxa"/>
              <w:left w:w="100.0" w:type="dxa"/>
              <w:bottom w:w="60.0" w:type="dxa"/>
              <w:right w:w="100.0" w:type="dxa"/>
            </w:tcMar>
          </w:tcPr>
          <w:p w:rsidR="00000000" w:rsidDel="00000000" w:rsidP="00000000" w:rsidRDefault="00000000" w:rsidRPr="00000000" w14:paraId="0000009B">
            <w:pPr>
              <w:spacing w:after="60" w:lineRule="auto"/>
              <w:rPr/>
            </w:pPr>
            <w:r w:rsidDel="00000000" w:rsidR="00000000" w:rsidRPr="00000000">
              <w:rPr>
                <w:b w:val="1"/>
                <w:bCs w:val="1"/>
                <w:rtl w:val="0"/>
              </w:rPr>
              <w:t xml:space="preserve">7. Вимоги до вартості</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9C">
            <w:pPr>
              <w:spacing w:after="60" w:lineRule="auto"/>
              <w:rPr/>
            </w:pPr>
            <w:r w:rsidDel="00000000" w:rsidR="00000000" w:rsidRPr="00000000">
              <w:rPr>
                <w:b w:val="1"/>
                <w:bCs w:val="1"/>
                <w:rtl w:val="0"/>
              </w:rPr>
              <w:t xml:space="preserve">Position</w:t>
            </w:r>
            <w:r w:rsidDel="00000000" w:rsidR="00000000" w:rsidRPr="00000000">
              <w:rPr>
                <w:rtl w:val="0"/>
              </w:rPr>
            </w:r>
          </w:p>
          <w:p w:rsidR="00000000" w:rsidDel="00000000" w:rsidP="00000000" w:rsidRDefault="00000000" w:rsidRPr="00000000" w14:paraId="0000009D">
            <w:pPr>
              <w:spacing w:after="60" w:lineRule="auto"/>
              <w:rPr/>
            </w:pPr>
            <w:r w:rsidDel="00000000" w:rsidR="00000000" w:rsidRPr="00000000">
              <w:rPr>
                <w:b w:val="1"/>
                <w:bCs w:val="1"/>
                <w:rtl w:val="0"/>
              </w:rPr>
              <w:t xml:space="preserve">Indicative number of expert-days</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9E">
            <w:pPr>
              <w:spacing w:after="60" w:lineRule="auto"/>
              <w:rPr/>
            </w:pPr>
            <w:r w:rsidDel="00000000" w:rsidR="00000000" w:rsidRPr="00000000">
              <w:rPr>
                <w:b w:val="1"/>
                <w:bCs w:val="1"/>
                <w:rtl w:val="0"/>
              </w:rPr>
              <w:t xml:space="preserve">Позиція</w:t>
            </w:r>
            <w:r w:rsidDel="00000000" w:rsidR="00000000" w:rsidRPr="00000000">
              <w:rPr>
                <w:rtl w:val="0"/>
              </w:rPr>
            </w:r>
          </w:p>
          <w:p w:rsidR="00000000" w:rsidDel="00000000" w:rsidP="00000000" w:rsidRDefault="00000000" w:rsidRPr="00000000" w14:paraId="0000009F">
            <w:pPr>
              <w:spacing w:after="60" w:lineRule="auto"/>
              <w:rPr/>
            </w:pPr>
            <w:r w:rsidDel="00000000" w:rsidR="00000000" w:rsidRPr="00000000">
              <w:rPr>
                <w:b w:val="1"/>
                <w:bCs w:val="1"/>
                <w:rtl w:val="0"/>
              </w:rPr>
              <w:t xml:space="preserve">Індикативна кількість експерт-днів</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A0">
            <w:pPr>
              <w:spacing w:after="60" w:lineRule="auto"/>
              <w:rPr/>
            </w:pPr>
            <w:r w:rsidDel="00000000" w:rsidR="00000000" w:rsidRPr="00000000">
              <w:rPr>
                <w:rtl w:val="0"/>
              </w:rPr>
              <w:t xml:space="preserve">Expert on Parliamentary Affairs</w:t>
            </w:r>
          </w:p>
          <w:p w:rsidR="00000000" w:rsidDel="00000000" w:rsidP="00000000" w:rsidRDefault="00000000" w:rsidRPr="00000000" w14:paraId="000000A1">
            <w:pPr>
              <w:spacing w:after="60" w:lineRule="auto"/>
              <w:rPr/>
            </w:pPr>
            <w:r w:rsidDel="00000000" w:rsidR="00000000" w:rsidRPr="00000000">
              <w:rPr>
                <w:rtl w:val="0"/>
              </w:rPr>
              <w:t xml:space="preserve">up to 50 expert-days</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A2">
            <w:pPr>
              <w:spacing w:after="60" w:lineRule="auto"/>
              <w:rPr/>
            </w:pPr>
            <w:r w:rsidDel="00000000" w:rsidR="00000000" w:rsidRPr="00000000">
              <w:rPr>
                <w:rtl w:val="0"/>
              </w:rPr>
              <w:t xml:space="preserve">Експерт з парламентських справ</w:t>
            </w:r>
          </w:p>
          <w:p w:rsidR="00000000" w:rsidDel="00000000" w:rsidP="00000000" w:rsidRDefault="00000000" w:rsidRPr="00000000" w14:paraId="000000A3">
            <w:pPr>
              <w:spacing w:after="60" w:lineRule="auto"/>
              <w:rPr/>
            </w:pPr>
            <w:r w:rsidDel="00000000" w:rsidR="00000000" w:rsidRPr="00000000">
              <w:rPr>
                <w:rtl w:val="0"/>
              </w:rPr>
              <w:t xml:space="preserve">до 50 експерт-днів</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A4">
            <w:pPr>
              <w:spacing w:after="60" w:lineRule="auto"/>
              <w:rPr/>
            </w:pPr>
            <w:r w:rsidDel="00000000" w:rsidR="00000000" w:rsidRPr="00000000">
              <w:rPr>
                <w:rtl w:val="0"/>
              </w:rPr>
              <w:t xml:space="preserve">Analyst on EU Integration</w:t>
            </w:r>
          </w:p>
          <w:p w:rsidR="00000000" w:rsidDel="00000000" w:rsidP="00000000" w:rsidRDefault="00000000" w:rsidRPr="00000000" w14:paraId="000000A5">
            <w:pPr>
              <w:spacing w:after="60" w:lineRule="auto"/>
              <w:rPr/>
            </w:pPr>
            <w:r w:rsidDel="00000000" w:rsidR="00000000" w:rsidRPr="00000000">
              <w:rPr>
                <w:rtl w:val="0"/>
              </w:rPr>
              <w:t xml:space="preserve">up to 50 expert-days</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A6">
            <w:pPr>
              <w:spacing w:after="60" w:lineRule="auto"/>
              <w:rPr/>
            </w:pPr>
            <w:r w:rsidDel="00000000" w:rsidR="00000000" w:rsidRPr="00000000">
              <w:rPr>
                <w:rtl w:val="0"/>
              </w:rPr>
              <w:t xml:space="preserve">Аналітик з питань євроінтеграції</w:t>
            </w:r>
          </w:p>
          <w:p w:rsidR="00000000" w:rsidDel="00000000" w:rsidP="00000000" w:rsidRDefault="00000000" w:rsidRPr="00000000" w14:paraId="000000A7">
            <w:pPr>
              <w:spacing w:after="60" w:lineRule="auto"/>
              <w:rPr/>
            </w:pPr>
            <w:r w:rsidDel="00000000" w:rsidR="00000000" w:rsidRPr="00000000">
              <w:rPr>
                <w:rtl w:val="0"/>
              </w:rPr>
              <w:t xml:space="preserve">до 50 експерт-днів</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A8">
            <w:pPr>
              <w:spacing w:after="60" w:lineRule="auto"/>
              <w:rPr/>
            </w:pPr>
            <w:r w:rsidDel="00000000" w:rsidR="00000000" w:rsidRPr="00000000">
              <w:rPr>
                <w:rtl w:val="0"/>
              </w:rPr>
              <w:t xml:space="preserve">Candidates propose their gross daily fee rate in Annex 3 (Fee proposal). All applicable taxes and fees must be included in the quoted rate. The financial bid must be prepared in UAH.</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A9">
            <w:pPr>
              <w:spacing w:after="60" w:lineRule="auto"/>
              <w:rPr/>
            </w:pPr>
            <w:r w:rsidDel="00000000" w:rsidR="00000000" w:rsidRPr="00000000">
              <w:rPr>
                <w:rtl w:val="0"/>
              </w:rPr>
              <w:t xml:space="preserve">Кандидати пропонують свою денну ставку (з урахуванням податків) у Додатку 3 (Фінансова пропозиція). Усі застосовні податки та збори мають бути включені до запропонованої ставки. Фінансова пропозиція готується у гривнях (UAH).</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AA">
            <w:pPr>
              <w:spacing w:after="60" w:lineRule="auto"/>
              <w:rPr/>
            </w:pPr>
            <w:r w:rsidDel="00000000" w:rsidR="00000000" w:rsidRPr="00000000">
              <w:rPr>
                <w:rtl w:val="0"/>
              </w:rPr>
              <w:t xml:space="preserve">Payment is made on a post-payment basis upon acceptance of the respective deliverable(s), on the basis of an act of acceptance and timesheet, by bank transfer to the expert's account.</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AB">
            <w:pPr>
              <w:spacing w:after="60" w:lineRule="auto"/>
              <w:rPr/>
            </w:pPr>
            <w:r w:rsidDel="00000000" w:rsidR="00000000" w:rsidRPr="00000000">
              <w:rPr>
                <w:rtl w:val="0"/>
              </w:rPr>
              <w:t xml:space="preserve">Оплата здійснюється на умовах постоплати після прийняття відповідного(их) результату(ів) на підставі акту приймання-передачі та табеля обліку робочого часу шляхом банківського переказу на рахунок експерта.</w:t>
            </w:r>
          </w:p>
        </w:tc>
      </w:tr>
    </w:tbl>
    <w:p w:rsidR="00000000" w:rsidDel="00000000" w:rsidP="00000000" w:rsidRDefault="00000000" w:rsidRPr="00000000" w14:paraId="000000AC">
      <w:pPr>
        <w:spacing w:after="80" w:lineRule="auto"/>
        <w:rPr/>
      </w:pPr>
      <w:r w:rsidDel="00000000" w:rsidR="00000000" w:rsidRPr="00000000">
        <w:rPr>
          <w:rtl w:val="0"/>
        </w:rPr>
      </w:r>
    </w:p>
    <w:tbl>
      <w:tblPr>
        <w:tblStyle w:val="Table9"/>
        <w:tblW w:w="90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30"/>
        <w:gridCol w:w="4530"/>
        <w:tblGridChange w:id="0">
          <w:tblGrid>
            <w:gridCol w:w="4530"/>
            <w:gridCol w:w="4530"/>
          </w:tblGrid>
        </w:tblGridChange>
      </w:tblGrid>
      <w:tr>
        <w:trPr>
          <w:cantSplit w:val="0"/>
          <w:tblHeader w:val="0"/>
        </w:trPr>
        <w:tc>
          <w:tcPr>
            <w:tcBorders>
              <w:top w:color="999999" w:space="0" w:sz="4" w:val="single"/>
              <w:left w:color="999999" w:space="0" w:sz="4" w:val="single"/>
              <w:bottom w:color="999999" w:space="0" w:sz="4" w:val="single"/>
              <w:right w:color="999999" w:space="0" w:sz="4" w:val="single"/>
            </w:tcBorders>
            <w:shd w:fill="d9e2f3" w:val="clear"/>
            <w:tcMar>
              <w:top w:w="60.0" w:type="dxa"/>
              <w:left w:w="100.0" w:type="dxa"/>
              <w:bottom w:w="60.0" w:type="dxa"/>
              <w:right w:w="100.0" w:type="dxa"/>
            </w:tcMar>
          </w:tcPr>
          <w:p w:rsidR="00000000" w:rsidDel="00000000" w:rsidP="00000000" w:rsidRDefault="00000000" w:rsidRPr="00000000" w14:paraId="000000AD">
            <w:pPr>
              <w:spacing w:after="60" w:lineRule="auto"/>
              <w:rPr/>
            </w:pPr>
            <w:r w:rsidDel="00000000" w:rsidR="00000000" w:rsidRPr="00000000">
              <w:rPr>
                <w:b w:val="1"/>
                <w:bCs w:val="1"/>
                <w:rtl w:val="0"/>
              </w:rPr>
              <w:t xml:space="preserve">8. Inputs to be provided by UPI</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9e2f3" w:val="clear"/>
            <w:tcMar>
              <w:top w:w="60.0" w:type="dxa"/>
              <w:left w:w="100.0" w:type="dxa"/>
              <w:bottom w:w="60.0" w:type="dxa"/>
              <w:right w:w="100.0" w:type="dxa"/>
            </w:tcMar>
          </w:tcPr>
          <w:p w:rsidR="00000000" w:rsidDel="00000000" w:rsidP="00000000" w:rsidRDefault="00000000" w:rsidRPr="00000000" w14:paraId="000000AE">
            <w:pPr>
              <w:spacing w:after="60" w:lineRule="auto"/>
              <w:rPr/>
            </w:pPr>
            <w:r w:rsidDel="00000000" w:rsidR="00000000" w:rsidRPr="00000000">
              <w:rPr>
                <w:b w:val="1"/>
                <w:bCs w:val="1"/>
                <w:rtl w:val="0"/>
              </w:rPr>
              <w:t xml:space="preserve">8. Внесок УПІ</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AF">
            <w:pPr>
              <w:spacing w:after="60" w:lineRule="auto"/>
              <w:rPr/>
            </w:pPr>
            <w:r w:rsidDel="00000000" w:rsidR="00000000" w:rsidRPr="00000000">
              <w:rPr>
                <w:rtl w:val="0"/>
              </w:rPr>
              <w:t xml:space="preserve">UPI will provide:</w:t>
            </w:r>
          </w:p>
          <w:p w:rsidR="00000000" w:rsidDel="00000000" w:rsidP="00000000" w:rsidRDefault="00000000" w:rsidRPr="00000000" w14:paraId="000000B0">
            <w:pPr>
              <w:spacing w:after="60" w:lineRule="auto"/>
              <w:rPr/>
            </w:pPr>
            <w:r w:rsidDel="00000000" w:rsidR="00000000" w:rsidRPr="00000000">
              <w:rPr>
                <w:rtl w:val="0"/>
              </w:rPr>
              <w:t xml:space="preserve">• access to relevant project documents, prior analytical outputs and the legislative/acquis monitoring matrix;</w:t>
            </w:r>
          </w:p>
          <w:p w:rsidR="00000000" w:rsidDel="00000000" w:rsidP="00000000" w:rsidRDefault="00000000" w:rsidRPr="00000000" w14:paraId="000000B1">
            <w:pPr>
              <w:spacing w:after="60" w:lineRule="auto"/>
              <w:rPr/>
            </w:pPr>
            <w:r w:rsidDel="00000000" w:rsidR="00000000" w:rsidRPr="00000000">
              <w:rPr>
                <w:rtl w:val="0"/>
              </w:rPr>
              <w:t xml:space="preserve">• coordination with the Verkhovna Rada, GIZ and other stakeholders, where necessary;</w:t>
            </w:r>
          </w:p>
          <w:p w:rsidR="00000000" w:rsidDel="00000000" w:rsidP="00000000" w:rsidRDefault="00000000" w:rsidRPr="00000000" w14:paraId="000000B2">
            <w:pPr>
              <w:spacing w:after="60" w:lineRule="auto"/>
              <w:rPr/>
            </w:pPr>
            <w:r w:rsidDel="00000000" w:rsidR="00000000" w:rsidRPr="00000000">
              <w:rPr>
                <w:rtl w:val="0"/>
              </w:rPr>
              <w:t xml:space="preserve">• feedback on draft deliverables within a reasonable timeframe;</w:t>
            </w:r>
          </w:p>
          <w:p w:rsidR="00000000" w:rsidDel="00000000" w:rsidP="00000000" w:rsidRDefault="00000000" w:rsidRPr="00000000" w14:paraId="000000B3">
            <w:pPr>
              <w:spacing w:after="60" w:lineRule="auto"/>
              <w:rPr/>
            </w:pPr>
            <w:r w:rsidDel="00000000" w:rsidR="00000000" w:rsidRPr="00000000">
              <w:rPr>
                <w:rtl w:val="0"/>
              </w:rPr>
              <w:t xml:space="preserve">• a designated focal point (Project Manager of ACQUIS-UA 2.0) for day-to-day coordination.</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B4">
            <w:pPr>
              <w:spacing w:after="60" w:lineRule="auto"/>
              <w:rPr/>
            </w:pPr>
            <w:r w:rsidDel="00000000" w:rsidR="00000000" w:rsidRPr="00000000">
              <w:rPr>
                <w:rtl w:val="0"/>
              </w:rPr>
              <w:t xml:space="preserve">УПІ надає:</w:t>
            </w:r>
          </w:p>
          <w:p w:rsidR="00000000" w:rsidDel="00000000" w:rsidP="00000000" w:rsidRDefault="00000000" w:rsidRPr="00000000" w14:paraId="000000B5">
            <w:pPr>
              <w:spacing w:after="60" w:lineRule="auto"/>
              <w:rPr/>
            </w:pPr>
            <w:r w:rsidDel="00000000" w:rsidR="00000000" w:rsidRPr="00000000">
              <w:rPr>
                <w:rtl w:val="0"/>
              </w:rPr>
              <w:t xml:space="preserve">• доступ до відповідних проєктних документів, попередніх аналітичних результатів та матриці законодавчого моніторингу/моніторингу acquis;</w:t>
            </w:r>
          </w:p>
          <w:p w:rsidR="00000000" w:rsidDel="00000000" w:rsidP="00000000" w:rsidRDefault="00000000" w:rsidRPr="00000000" w14:paraId="000000B6">
            <w:pPr>
              <w:spacing w:after="60" w:lineRule="auto"/>
              <w:rPr/>
            </w:pPr>
            <w:r w:rsidDel="00000000" w:rsidR="00000000" w:rsidRPr="00000000">
              <w:rPr>
                <w:rtl w:val="0"/>
              </w:rPr>
              <w:t xml:space="preserve">• координацію з Верховною Радою, GIZ та іншими зацікавленими сторонами за потреби;</w:t>
            </w:r>
          </w:p>
          <w:p w:rsidR="00000000" w:rsidDel="00000000" w:rsidP="00000000" w:rsidRDefault="00000000" w:rsidRPr="00000000" w14:paraId="000000B7">
            <w:pPr>
              <w:spacing w:after="60" w:lineRule="auto"/>
              <w:rPr/>
            </w:pPr>
            <w:r w:rsidDel="00000000" w:rsidR="00000000" w:rsidRPr="00000000">
              <w:rPr>
                <w:rtl w:val="0"/>
              </w:rPr>
              <w:t xml:space="preserve">• зауваження до проєктів результатів у розумні строки;</w:t>
            </w:r>
          </w:p>
          <w:p w:rsidR="00000000" w:rsidDel="00000000" w:rsidP="00000000" w:rsidRDefault="00000000" w:rsidRPr="00000000" w14:paraId="000000B8">
            <w:pPr>
              <w:spacing w:after="60" w:lineRule="auto"/>
              <w:rPr/>
            </w:pPr>
            <w:r w:rsidDel="00000000" w:rsidR="00000000" w:rsidRPr="00000000">
              <w:rPr>
                <w:rtl w:val="0"/>
              </w:rPr>
              <w:t xml:space="preserve">• визначену контактну особу (керівника проєкту ACQUIS-UA 2.0) для поточної координації.</w:t>
            </w:r>
          </w:p>
        </w:tc>
      </w:tr>
    </w:tbl>
    <w:p w:rsidR="00000000" w:rsidDel="00000000" w:rsidP="00000000" w:rsidRDefault="00000000" w:rsidRPr="00000000" w14:paraId="000000B9">
      <w:pPr>
        <w:spacing w:after="80" w:lineRule="auto"/>
        <w:rPr/>
      </w:pPr>
      <w:r w:rsidDel="00000000" w:rsidR="00000000" w:rsidRPr="00000000">
        <w:rPr>
          <w:rtl w:val="0"/>
        </w:rPr>
      </w:r>
    </w:p>
    <w:tbl>
      <w:tblPr>
        <w:tblStyle w:val="Table10"/>
        <w:tblW w:w="90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30"/>
        <w:gridCol w:w="4530"/>
        <w:tblGridChange w:id="0">
          <w:tblGrid>
            <w:gridCol w:w="4530"/>
            <w:gridCol w:w="4530"/>
          </w:tblGrid>
        </w:tblGridChange>
      </w:tblGrid>
      <w:tr>
        <w:trPr>
          <w:cantSplit w:val="0"/>
          <w:tblHeader w:val="0"/>
        </w:trPr>
        <w:tc>
          <w:tcPr>
            <w:tcBorders>
              <w:top w:color="999999" w:space="0" w:sz="4" w:val="single"/>
              <w:left w:color="999999" w:space="0" w:sz="4" w:val="single"/>
              <w:bottom w:color="999999" w:space="0" w:sz="4" w:val="single"/>
              <w:right w:color="999999" w:space="0" w:sz="4" w:val="single"/>
            </w:tcBorders>
            <w:shd w:fill="d9e2f3" w:val="clear"/>
            <w:tcMar>
              <w:top w:w="60.0" w:type="dxa"/>
              <w:left w:w="100.0" w:type="dxa"/>
              <w:bottom w:w="60.0" w:type="dxa"/>
              <w:right w:w="100.0" w:type="dxa"/>
            </w:tcMar>
          </w:tcPr>
          <w:p w:rsidR="00000000" w:rsidDel="00000000" w:rsidP="00000000" w:rsidRDefault="00000000" w:rsidRPr="00000000" w14:paraId="000000BA">
            <w:pPr>
              <w:spacing w:after="60" w:lineRule="auto"/>
              <w:rPr/>
            </w:pPr>
            <w:r w:rsidDel="00000000" w:rsidR="00000000" w:rsidRPr="00000000">
              <w:rPr>
                <w:b w:val="1"/>
                <w:bCs w:val="1"/>
                <w:rtl w:val="0"/>
              </w:rPr>
              <w:t xml:space="preserve">9. Contract management and other provisions</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d9e2f3" w:val="clear"/>
            <w:tcMar>
              <w:top w:w="60.0" w:type="dxa"/>
              <w:left w:w="100.0" w:type="dxa"/>
              <w:bottom w:w="60.0" w:type="dxa"/>
              <w:right w:w="100.0" w:type="dxa"/>
            </w:tcMar>
          </w:tcPr>
          <w:p w:rsidR="00000000" w:rsidDel="00000000" w:rsidP="00000000" w:rsidRDefault="00000000" w:rsidRPr="00000000" w14:paraId="000000BB">
            <w:pPr>
              <w:spacing w:after="60" w:lineRule="auto"/>
              <w:rPr/>
            </w:pPr>
            <w:r w:rsidDel="00000000" w:rsidR="00000000" w:rsidRPr="00000000">
              <w:rPr>
                <w:b w:val="1"/>
                <w:bCs w:val="1"/>
                <w:rtl w:val="0"/>
              </w:rPr>
              <w:t xml:space="preserve">9. Управління договором та інші положення</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BC">
            <w:pPr>
              <w:spacing w:after="60" w:lineRule="auto"/>
              <w:rPr/>
            </w:pPr>
            <w:r w:rsidDel="00000000" w:rsidR="00000000" w:rsidRPr="00000000">
              <w:rPr>
                <w:rtl w:val="0"/>
              </w:rPr>
              <w:t xml:space="preserve">The selected experts will sign an individual service contract with UPI, referencing this Terms of Reference. The contract will be governed by Ukrainian law and UPI's internal Rules for the Procurement of Goods/Services.</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BD">
            <w:pPr>
              <w:spacing w:after="60" w:lineRule="auto"/>
              <w:rPr/>
            </w:pPr>
            <w:r w:rsidDel="00000000" w:rsidR="00000000" w:rsidRPr="00000000">
              <w:rPr>
                <w:rtl w:val="0"/>
              </w:rPr>
              <w:t xml:space="preserve">Обрані експерти підписують індивідуальний договір про надання послуг з УПІ з посиланням на це Технічне завдання. Договір регулюється законодавством України та внутрішніми Правилами закупівлі товарів/послуг УПІ.</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BE">
            <w:pPr>
              <w:spacing w:after="60" w:lineRule="auto"/>
              <w:rPr/>
            </w:pPr>
            <w:r w:rsidDel="00000000" w:rsidR="00000000" w:rsidRPr="00000000">
              <w:rPr>
                <w:rtl w:val="0"/>
              </w:rPr>
              <w:t xml:space="preserve">If an expert has an existing employment or service contract with GIZ, this must be disclosed, stating the end date of the respective contract.</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BF">
            <w:pPr>
              <w:spacing w:after="60" w:lineRule="auto"/>
              <w:rPr/>
            </w:pPr>
            <w:r w:rsidDel="00000000" w:rsidR="00000000" w:rsidRPr="00000000">
              <w:rPr>
                <w:rtl w:val="0"/>
              </w:rPr>
              <w:t xml:space="preserve">Якщо експерт має чинний трудовий договір або договір про надання послуг з GIZ, це має бути розкрито із зазначенням дати закінчення відповідного договору.</w:t>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C0">
            <w:pPr>
              <w:spacing w:after="60" w:lineRule="auto"/>
              <w:rPr/>
            </w:pPr>
            <w:r w:rsidDel="00000000" w:rsidR="00000000" w:rsidRPr="00000000">
              <w:rPr>
                <w:rtl w:val="0"/>
              </w:rPr>
              <w:t xml:space="preserve">Costs incurred outside the period of assignment are not eligible for reimbursement.</w:t>
            </w:r>
          </w:p>
        </w:tc>
        <w:tc>
          <w:tcPr>
            <w:tcBorders>
              <w:top w:color="999999" w:space="0" w:sz="4" w:val="single"/>
              <w:left w:color="999999" w:space="0" w:sz="4" w:val="single"/>
              <w:bottom w:color="999999" w:space="0" w:sz="4" w:val="single"/>
              <w:right w:color="999999" w:space="0" w:sz="4" w:val="single"/>
            </w:tcBorders>
            <w:tcMar>
              <w:top w:w="60.0" w:type="dxa"/>
              <w:left w:w="100.0" w:type="dxa"/>
              <w:bottom w:w="60.0" w:type="dxa"/>
              <w:right w:w="100.0" w:type="dxa"/>
            </w:tcMar>
          </w:tcPr>
          <w:p w:rsidR="00000000" w:rsidDel="00000000" w:rsidP="00000000" w:rsidRDefault="00000000" w:rsidRPr="00000000" w14:paraId="000000C1">
            <w:pPr>
              <w:spacing w:after="60" w:lineRule="auto"/>
              <w:rPr/>
            </w:pPr>
            <w:r w:rsidDel="00000000" w:rsidR="00000000" w:rsidRPr="00000000">
              <w:rPr>
                <w:rtl w:val="0"/>
              </w:rPr>
              <w:t xml:space="preserve">Витрати, понесені поза межами періоду залучення, не підлягають відшкодуванню.</w:t>
            </w:r>
          </w:p>
        </w:tc>
      </w:tr>
    </w:tbl>
    <w:p w:rsidR="00000000" w:rsidDel="00000000" w:rsidP="00000000" w:rsidRDefault="00000000" w:rsidRPr="00000000" w14:paraId="000000C2">
      <w:pPr>
        <w:rPr/>
      </w:pPr>
      <w:r w:rsidDel="00000000" w:rsidR="00000000" w:rsidRPr="00000000">
        <w:rPr>
          <w:rtl w:val="0"/>
        </w:rPr>
      </w:r>
    </w:p>
    <w:sectPr>
      <w:headerReference r:id="rId7" w:type="default"/>
      <w:footerReference r:id="rId8" w:type="default"/>
      <w:pgSz w:h="16838" w:w="11906" w:orient="portrait"/>
      <w:pgMar w:bottom="1000" w:top="1000" w:left="850"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4">
    <w:pPr>
      <w:jc w:val="center"/>
      <w:rPr/>
    </w:pPr>
    <w:r w:rsidDel="00000000" w:rsidR="00000000" w:rsidRPr="00000000">
      <w:rPr>
        <w:color w:val="888888"/>
        <w:sz w:val="16"/>
        <w:szCs w:val="16"/>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3">
    <w:pPr>
      <w:jc w:val="right"/>
      <w:rPr/>
    </w:pPr>
    <w:r w:rsidDel="00000000" w:rsidR="00000000" w:rsidRPr="00000000">
      <w:rPr>
        <w:i w:val="1"/>
        <w:iCs w:val="1"/>
        <w:color w:val="888888"/>
        <w:sz w:val="16"/>
        <w:szCs w:val="16"/>
        <w:rtl w:val="0"/>
      </w:rPr>
      <w:t xml:space="preserve">UPI / ACQUIS-UA 2.0 — Call for Experts, 2026</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lang w:val="ru-UA"/>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Calibri" w:cs="Calibri" w:eastAsia="Calibri" w:hAnsi="Calibri"/>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Calibri" w:cs="Calibri" w:eastAsia="Calibri" w:hAnsi="Calibri"/>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Calibri" w:cs="Calibri" w:eastAsia="Calibri" w:hAnsi="Calibri"/>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Calibri" w:cs="Calibri" w:eastAsia="Calibri" w:hAnsi="Calibri"/>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Calibri" w:cs="Calibri" w:eastAsia="Calibri" w:hAnsi="Calibri"/>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Calibri" w:cs="Calibri" w:eastAsia="Calibri" w:hAnsi="Calibri"/>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Calibri" w:cs="Calibri" w:eastAsia="Calibri" w:hAnsi="Calibri"/>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 w:type="table" w:styleId="Table8">
    <w:basedOn w:val="TableNormal"/>
    <w:tblPr>
      <w:tblStyleRowBandSize w:val="1"/>
      <w:tblStyleColBandSize w:val="1"/>
      <w:tblCellMar>
        <w:top w:w="0.0" w:type="dxa"/>
        <w:left w:w="10.0" w:type="dxa"/>
        <w:bottom w:w="0.0" w:type="dxa"/>
        <w:right w:w="10.0" w:type="dxa"/>
      </w:tblCellMar>
    </w:tblPr>
  </w:style>
  <w:style w:type="table" w:styleId="Table9">
    <w:basedOn w:val="TableNormal"/>
    <w:tblPr>
      <w:tblStyleRowBandSize w:val="1"/>
      <w:tblStyleColBandSize w:val="1"/>
      <w:tblCellMar>
        <w:top w:w="0.0" w:type="dxa"/>
        <w:left w:w="10.0" w:type="dxa"/>
        <w:bottom w:w="0.0" w:type="dxa"/>
        <w:right w:w="10.0" w:type="dxa"/>
      </w:tblCellMar>
    </w:tblPr>
  </w:style>
  <w:style w:type="table" w:styleId="Table10">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9lIIzs0qls6ML4S9J18cJJ22Qw==">CgMxLjA4AHIhMUhyYnhuRGVkQlFyOExwdDFmT0ZFZXlwdmhvZHU2dmgx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