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Calibri" w:cs="Calibri" w:eastAsia="Calibri" w:hAnsi="Calibri"/>
          <w:b/>
          <w:bCs/>
          <w:sz w:val="28"/>
          <w:szCs w:val="28"/>
        </w:rPr>
        <w:t xml:space="preserve">Call for an Expert</w:t>
      </w:r>
    </w:p>
    <w:p>
      <w:pPr>
        <w:spacing w:after="200"/>
        <w:jc w:val="center"/>
      </w:pPr>
      <w:r>
        <w:rPr>
          <w:rFonts w:ascii="Calibri" w:cs="Calibri" w:eastAsia="Calibri" w:hAnsi="Calibri"/>
          <w:b/>
          <w:bCs/>
          <w:sz w:val="28"/>
          <w:szCs w:val="28"/>
        </w:rPr>
        <w:t xml:space="preserve">Заклик до подання заявок від експерта</w:t>
      </w: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Transaction / reference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Номер транзакції/референс:</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[TBC by UPI Finance/Project team]</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[Уточнюється фінансовим/проєктним відділом УПІ]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Project: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Проєкт:</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ACQUIS-UA 2.0 (funded by GIZ)</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ACQUIS-UA 2.0 (за фінансування GIZ)</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Date of publication:</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Дата оголошення: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31 August 2026</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31 серпня 2026 р.</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Subject: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Предмет:</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Selection of one (1) individual short-term expert: Expert on EU Law and Institutional Capacity of Public Authorities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Відбір одного (1) індивідуального короткострокового експерта: Експерт із права ЄС та інституційної спроможності органів публічної влади</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Mar>
              <w:top w:type="dxa" w:w="60"/>
              <w:left w:type="dxa" w:w="100"/>
              <w:bottom w:type="dxa" w:w="60"/>
              <w:right w:type="dxa" w:w="100"/>
            </w:tcMar>
            <w:vAlign w:val="top"/>
          </w:tcPr>
          <w:p>
            <w:pPr>
              <w:spacing w:after="80"/>
            </w:pPr>
            <w:r>
              <w:rPr>
                <w:rFonts w:ascii="Calibri" w:cs="Calibri" w:eastAsia="Calibri" w:hAnsi="Calibri"/>
                <w:b w:val="false"/>
                <w:bCs w:val="false"/>
                <w:i w:val="false"/>
                <w:iCs w:val="false"/>
                <w:sz w:val="20"/>
                <w:szCs w:val="20"/>
              </w:rPr>
              <w:t xml:space="preserve">Dear Sir/Madam,</w:t>
            </w:r>
          </w:p>
          <w:p>
            <w:pPr>
              <w:spacing w:after="80"/>
            </w:pPr>
            <w:r>
              <w:rPr>
                <w:rFonts w:ascii="Calibri" w:cs="Calibri" w:eastAsia="Calibri" w:hAnsi="Calibri"/>
                <w:b w:val="false"/>
                <w:bCs w:val="false"/>
                <w:i w:val="false"/>
                <w:iCs w:val="false"/>
                <w:sz w:val="20"/>
                <w:szCs w:val="20"/>
              </w:rPr>
              <w:t xml:space="preserve">The Ukrainian Parliamentary Institute (UPI) is a Kyiv-based non-governmental organisation that supports the Verkhovna Rada of Ukraine and the country's democratic and EU accession reforms. Within the framework of the project "ACQUIS-UA 2.0", implemented with the financial support of the Deutsche Gesellschaft für Internationale Zusammenarbeit (GIZ) GmbH, UPI announces an open call for an expert.</w:t>
            </w:r>
          </w:p>
        </w:tc>
        <w:tc>
          <w:tcPr>
            <w:tcW w:type="dxa" w:w="4530"/>
            <w:tcMar>
              <w:top w:type="dxa" w:w="60"/>
              <w:left w:type="dxa" w:w="100"/>
              <w:bottom w:type="dxa" w:w="60"/>
              <w:right w:type="dxa" w:w="100"/>
            </w:tcMar>
            <w:vAlign w:val="top"/>
          </w:tcPr>
          <w:p>
            <w:pPr>
              <w:spacing w:after="80"/>
            </w:pPr>
            <w:r>
              <w:rPr>
                <w:rFonts w:ascii="Calibri" w:cs="Calibri" w:eastAsia="Calibri" w:hAnsi="Calibri"/>
                <w:b w:val="false"/>
                <w:bCs w:val="false"/>
                <w:i w:val="false"/>
                <w:iCs w:val="false"/>
                <w:sz w:val="20"/>
                <w:szCs w:val="20"/>
              </w:rPr>
              <w:t xml:space="preserve">Шановні пані та панове,</w:t>
            </w:r>
          </w:p>
          <w:p>
            <w:pPr>
              <w:spacing w:after="80"/>
            </w:pPr>
            <w:r>
              <w:rPr>
                <w:rFonts w:ascii="Calibri" w:cs="Calibri" w:eastAsia="Calibri" w:hAnsi="Calibri"/>
                <w:b w:val="false"/>
                <w:bCs w:val="false"/>
                <w:i w:val="false"/>
                <w:iCs w:val="false"/>
                <w:sz w:val="20"/>
                <w:szCs w:val="20"/>
              </w:rPr>
              <w:t xml:space="preserve">Український парламентський інститут (УПІ) — київська громадська організація, що підтримує Верховну Раду України та демократичні реформи і процес євроінтеграції країни. У рамках проєкту «ACQUIS-UA 2.0», що реалізується за фінансової підтримки Deutsche Gesellschaft für Internationale Zusammenarbeit (GIZ) GmbH, УПІ оголошує відкритий конкурс на відбір експерта.</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Position announced</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Оголошена позиція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Expert on EU Law and Institutional Capacity of Public Authorities</w:t>
            </w:r>
          </w:p>
          <w:p>
            <w:pPr>
              <w:spacing w:after="60"/>
            </w:pPr>
            <w:r>
              <w:rPr>
                <w:rFonts w:ascii="Calibri" w:cs="Calibri" w:eastAsia="Calibri" w:hAnsi="Calibri"/>
                <w:b w:val="false"/>
                <w:bCs w:val="false"/>
                <w:sz w:val="20"/>
                <w:szCs w:val="20"/>
              </w:rPr>
              <w:t xml:space="preserve">Focus: analysis of relevant EU law (acquis) provisions and assessment of the institutional capacity of Ukrainian public authorities to implement and align with them; support to legislative monitoring and ad hoc/thematic policy briefs on institutional capacity for EU accession.</w:t>
            </w:r>
          </w:p>
          <w:p>
            <w:pPr>
              <w:spacing w:after="60"/>
            </w:pPr>
            <w:r>
              <w:rPr>
                <w:rFonts w:ascii="Calibri" w:cs="Calibri" w:eastAsia="Calibri" w:hAnsi="Calibri"/>
                <w:b w:val="false"/>
                <w:bCs w:val="false"/>
                <w:sz w:val="20"/>
                <w:szCs w:val="20"/>
              </w:rPr>
              <w:t xml:space="preserve">Indicative volume: up to 35 expert-days.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Експерт із права ЄС та інституційної спроможності органів публічної влади</w:t>
            </w:r>
          </w:p>
          <w:p>
            <w:pPr>
              <w:spacing w:after="60"/>
            </w:pPr>
            <w:r>
              <w:rPr>
                <w:rFonts w:ascii="Calibri" w:cs="Calibri" w:eastAsia="Calibri" w:hAnsi="Calibri"/>
                <w:b w:val="false"/>
                <w:bCs w:val="false"/>
                <w:sz w:val="20"/>
                <w:szCs w:val="20"/>
              </w:rPr>
              <w:t xml:space="preserve">Фокус: аналіз відповідних положень права ЄС (acquis) та оцінка інституційної спроможності органів публічної влади України щодо їх імплементації та наближення; підтримка законодавчого моніторингу й підготовки ad hoc/тематичних policy briefs з питань інституційної спроможності для євроінтеграції.</w:t>
            </w:r>
          </w:p>
          <w:p>
            <w:pPr>
              <w:spacing w:after="60"/>
            </w:pPr>
            <w:r>
              <w:rPr>
                <w:rFonts w:ascii="Calibri" w:cs="Calibri" w:eastAsia="Calibri" w:hAnsi="Calibri"/>
                <w:b w:val="false"/>
                <w:bCs w:val="false"/>
                <w:sz w:val="20"/>
                <w:szCs w:val="20"/>
              </w:rPr>
              <w:t xml:space="preserve">Індикативний обсяг: до 35 експерт-днів.</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Full task description, deliverables, reporting lines and required qualifications are set out in Annex 1 (Terms of Reference).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Повний опис завдань, результатів, порядку звітності та вимог до кваліфікації наведено в Додатку 1 (Технічне завдання).</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Eligibility</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Відповідність вимогам</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assignment is open to natural persons (individual experts) — Ukrainian citizens or foreign nationals legally residing/registered in Ukraine, acting either as private individuals or as individual entrepreneurs (FOP).</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До участі запрошуються фізичні особи (індивідуальні експерти) — громадяни України або іноземці, які на законних підставах проживають/зареєстровані в Україні, як фізичні особи або фізичні особи-підприємці (ФОП).</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candidate must:</w:t>
            </w:r>
          </w:p>
          <w:p>
            <w:pPr>
              <w:spacing w:after="60"/>
            </w:pPr>
            <w:r>
              <w:rPr>
                <w:rFonts w:ascii="Calibri" w:cs="Calibri" w:eastAsia="Calibri" w:hAnsi="Calibri"/>
                <w:b w:val="false"/>
                <w:bCs w:val="false"/>
                <w:sz w:val="20"/>
                <w:szCs w:val="20"/>
              </w:rPr>
              <w:t xml:space="preserve">• not be on the sanctions lists of Ukraine, the EU or the UN;</w:t>
            </w:r>
          </w:p>
          <w:p>
            <w:pPr>
              <w:spacing w:after="60"/>
            </w:pPr>
            <w:r>
              <w:rPr>
                <w:rFonts w:ascii="Calibri" w:cs="Calibri" w:eastAsia="Calibri" w:hAnsi="Calibri"/>
                <w:b w:val="false"/>
                <w:bCs w:val="false"/>
                <w:sz w:val="20"/>
                <w:szCs w:val="20"/>
              </w:rPr>
              <w:t xml:space="preserve">• not be a citizen of, or entity/person connected with, the Russian Federation, the Republic of Belarus or the Islamic Republic of Iran, except persons legally residing in Ukraine;</w:t>
            </w:r>
          </w:p>
          <w:p>
            <w:pPr>
              <w:spacing w:after="60"/>
            </w:pPr>
            <w:r>
              <w:rPr>
                <w:rFonts w:ascii="Calibri" w:cs="Calibri" w:eastAsia="Calibri" w:hAnsi="Calibri"/>
                <w:b w:val="false"/>
                <w:bCs w:val="false"/>
                <w:sz w:val="20"/>
                <w:szCs w:val="20"/>
              </w:rPr>
              <w:t xml:space="preserve">• not be registered on the temporarily occupied territories of Ukraine;</w:t>
            </w:r>
          </w:p>
          <w:p>
            <w:pPr>
              <w:spacing w:after="60"/>
            </w:pPr>
            <w:r>
              <w:rPr>
                <w:rFonts w:ascii="Calibri" w:cs="Calibri" w:eastAsia="Calibri" w:hAnsi="Calibri"/>
                <w:b w:val="false"/>
                <w:bCs w:val="false"/>
                <w:sz w:val="20"/>
                <w:szCs w:val="20"/>
              </w:rPr>
              <w:t xml:space="preserve">• have no undisclosed conflict of interest with UPI staff, board members or project partners;</w:t>
            </w:r>
          </w:p>
          <w:p>
            <w:pPr>
              <w:spacing w:after="60"/>
            </w:pPr>
            <w:r>
              <w:rPr>
                <w:rFonts w:ascii="Calibri" w:cs="Calibri" w:eastAsia="Calibri" w:hAnsi="Calibri"/>
                <w:b w:val="false"/>
                <w:bCs w:val="false"/>
                <w:sz w:val="20"/>
                <w:szCs w:val="20"/>
              </w:rPr>
              <w:t xml:space="preserve">• not have been involved in the preparation of this call for experts.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Кандидат повинен:</w:t>
            </w:r>
          </w:p>
          <w:p>
            <w:pPr>
              <w:spacing w:after="60"/>
            </w:pPr>
            <w:r>
              <w:rPr>
                <w:rFonts w:ascii="Calibri" w:cs="Calibri" w:eastAsia="Calibri" w:hAnsi="Calibri"/>
                <w:b w:val="false"/>
                <w:bCs w:val="false"/>
                <w:sz w:val="20"/>
                <w:szCs w:val="20"/>
              </w:rPr>
              <w:t xml:space="preserve">• не перебувати у санкційних списках України, ЄС або ООН;</w:t>
            </w:r>
          </w:p>
          <w:p>
            <w:pPr>
              <w:spacing w:after="60"/>
            </w:pPr>
            <w:r>
              <w:rPr>
                <w:rFonts w:ascii="Calibri" w:cs="Calibri" w:eastAsia="Calibri" w:hAnsi="Calibri"/>
                <w:b w:val="false"/>
                <w:bCs w:val="false"/>
                <w:sz w:val="20"/>
                <w:szCs w:val="20"/>
              </w:rPr>
              <w:t xml:space="preserve">• не бути громадянином, або пов'язаною особою/суб'єктом Російської Федерації, Республіки Білорусь чи Ісламської Республіки Іран, за винятком осіб, які на законних підставах проживають в Україні;</w:t>
            </w:r>
          </w:p>
          <w:p>
            <w:pPr>
              <w:spacing w:after="60"/>
            </w:pPr>
            <w:r>
              <w:rPr>
                <w:rFonts w:ascii="Calibri" w:cs="Calibri" w:eastAsia="Calibri" w:hAnsi="Calibri"/>
                <w:b w:val="false"/>
                <w:bCs w:val="false"/>
                <w:sz w:val="20"/>
                <w:szCs w:val="20"/>
              </w:rPr>
              <w:t xml:space="preserve">• не бути зареєстрованим на тимчасово окупованих територіях України;</w:t>
            </w:r>
          </w:p>
          <w:p>
            <w:pPr>
              <w:spacing w:after="60"/>
            </w:pPr>
            <w:r>
              <w:rPr>
                <w:rFonts w:ascii="Calibri" w:cs="Calibri" w:eastAsia="Calibri" w:hAnsi="Calibri"/>
                <w:b w:val="false"/>
                <w:bCs w:val="false"/>
                <w:sz w:val="20"/>
                <w:szCs w:val="20"/>
              </w:rPr>
              <w:t xml:space="preserve">• не мати незадекларованого конфлікту інтересів з працівниками, членами правління УПІ чи партнерами проєкту;</w:t>
            </w:r>
          </w:p>
          <w:p>
            <w:pPr>
              <w:spacing w:after="60"/>
            </w:pPr>
            <w:r>
              <w:rPr>
                <w:rFonts w:ascii="Calibri" w:cs="Calibri" w:eastAsia="Calibri" w:hAnsi="Calibri"/>
                <w:b w:val="false"/>
                <w:bCs w:val="false"/>
                <w:sz w:val="20"/>
                <w:szCs w:val="20"/>
              </w:rPr>
              <w:t xml:space="preserve">• не бути залученим до підготовки цього конкурсного оголошення.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UPI reserves the right to verify the above information at any time. By submitting an application, the candidate agrees to the processing of personal data in accordance with the EU General Data Protection Regulation (GDPR) and the Law of Ukraine "On the Protection of Personal Data" No. 2297-VI dated 01.06.2010.</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УПІ залишає за собою право перевірити наведену інформацію в будь-який час. Подаючи заявку, кандидат погоджується на обробку персональних даних відповідно до Загального регламенту ЄС про захист даних (GDPR) та Закону України «Про захист персональних даних» № 2297-VI від 01.06.2010.</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Documents to be submitted</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Документи, що подаються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 Technical bid, comprising:</w:t>
            </w:r>
          </w:p>
          <w:p>
            <w:pPr>
              <w:spacing w:after="60"/>
            </w:pPr>
            <w:r>
              <w:rPr>
                <w:rFonts w:ascii="Calibri" w:cs="Calibri" w:eastAsia="Calibri" w:hAnsi="Calibri"/>
                <w:b w:val="false"/>
                <w:bCs w:val="false"/>
                <w:sz w:val="20"/>
                <w:szCs w:val="20"/>
              </w:rPr>
              <w:t xml:space="preserve">1. Annex 2 "Self-declaration of eligibility", signed;</w:t>
            </w:r>
          </w:p>
          <w:p>
            <w:pPr>
              <w:spacing w:after="60"/>
            </w:pPr>
            <w:r>
              <w:rPr>
                <w:rFonts w:ascii="Calibri" w:cs="Calibri" w:eastAsia="Calibri" w:hAnsi="Calibri"/>
                <w:b w:val="false"/>
                <w:bCs w:val="false"/>
                <w:sz w:val="20"/>
                <w:szCs w:val="20"/>
              </w:rPr>
              <w:t xml:space="preserve">2. CV (max. 3 pages, in English or Ukrainian);</w:t>
            </w:r>
          </w:p>
          <w:p>
            <w:pPr>
              <w:spacing w:after="60"/>
            </w:pPr>
            <w:r>
              <w:rPr>
                <w:rFonts w:ascii="Calibri" w:cs="Calibri" w:eastAsia="Calibri" w:hAnsi="Calibri"/>
                <w:b w:val="false"/>
                <w:bCs w:val="false"/>
                <w:sz w:val="20"/>
                <w:szCs w:val="20"/>
              </w:rPr>
              <w:t xml:space="preserve">3. Short technical concept note (max. 4 pages) describing the candidate's understanding of the tasks in Annex 1 and the proposed approach to delivering them.</w:t>
            </w:r>
          </w:p>
          <w:p>
            <w:pPr>
              <w:spacing w:after="60"/>
            </w:pPr>
            <w:r>
              <w:rPr>
                <w:rFonts w:ascii="Calibri" w:cs="Calibri" w:eastAsia="Calibri" w:hAnsi="Calibri"/>
                <w:b w:val="false"/>
                <w:bCs w:val="false"/>
                <w:sz w:val="20"/>
                <w:szCs w:val="20"/>
              </w:rPr>
              <w:t xml:space="preserve">The technical bid must NOT contain any financial information (daily rate, fees). A technical bid containing price information will be disqualified.</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 Технічна пропозиція, що включає:</w:t>
            </w:r>
          </w:p>
          <w:p>
            <w:pPr>
              <w:spacing w:after="60"/>
            </w:pPr>
            <w:r>
              <w:rPr>
                <w:rFonts w:ascii="Calibri" w:cs="Calibri" w:eastAsia="Calibri" w:hAnsi="Calibri"/>
                <w:b w:val="false"/>
                <w:bCs w:val="false"/>
                <w:sz w:val="20"/>
                <w:szCs w:val="20"/>
              </w:rPr>
              <w:t xml:space="preserve">1. Додаток 2 «Декларація відповідності», підписаний;</w:t>
            </w:r>
          </w:p>
          <w:p>
            <w:pPr>
              <w:spacing w:after="60"/>
            </w:pPr>
            <w:r>
              <w:rPr>
                <w:rFonts w:ascii="Calibri" w:cs="Calibri" w:eastAsia="Calibri" w:hAnsi="Calibri"/>
                <w:b w:val="false"/>
                <w:bCs w:val="false"/>
                <w:sz w:val="20"/>
                <w:szCs w:val="20"/>
              </w:rPr>
              <w:t xml:space="preserve">2. CV (не більше 3 сторінок, українською або англійською мовою);</w:t>
            </w:r>
          </w:p>
          <w:p>
            <w:pPr>
              <w:spacing w:after="60"/>
            </w:pPr>
            <w:r>
              <w:rPr>
                <w:rFonts w:ascii="Calibri" w:cs="Calibri" w:eastAsia="Calibri" w:hAnsi="Calibri"/>
                <w:b w:val="false"/>
                <w:bCs w:val="false"/>
                <w:sz w:val="20"/>
                <w:szCs w:val="20"/>
              </w:rPr>
              <w:t xml:space="preserve">3. Коротку технічну концепцію (не більше 4 сторінок) з описом розуміння кандидатом завдань, викладених у Додатку 1, та пропонованого підходу до їх виконання.</w:t>
            </w:r>
          </w:p>
          <w:p>
            <w:pPr>
              <w:spacing w:after="60"/>
            </w:pPr>
            <w:r>
              <w:rPr>
                <w:rFonts w:ascii="Calibri" w:cs="Calibri" w:eastAsia="Calibri" w:hAnsi="Calibri"/>
                <w:b w:val="false"/>
                <w:bCs w:val="false"/>
                <w:sz w:val="20"/>
                <w:szCs w:val="20"/>
              </w:rPr>
              <w:t xml:space="preserve">Технічна пропозиція НЕ повинна містити жодної фінансової інформації (денна ставка, гонорар). Технічна пропозиція з інформацією про ціну буде дискваліфікована.</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(b) Financial bid, comprising:</w:t>
            </w:r>
          </w:p>
          <w:p>
            <w:pPr>
              <w:spacing w:after="60"/>
            </w:pPr>
            <w:r>
              <w:rPr>
                <w:rFonts w:ascii="Calibri" w:cs="Calibri" w:eastAsia="Calibri" w:hAnsi="Calibri"/>
                <w:b w:val="false"/>
                <w:bCs w:val="false"/>
                <w:sz w:val="20"/>
                <w:szCs w:val="20"/>
              </w:rPr>
              <w:t xml:space="preserve">1. Annex 3 "Fee proposal", signed — stating the candidate's proposed gross daily fee rate.</w:t>
            </w:r>
          </w:p>
          <w:p>
            <w:pPr>
              <w:spacing w:after="60"/>
            </w:pPr>
            <w:r>
              <w:rPr>
                <w:rFonts w:ascii="Calibri" w:cs="Calibri" w:eastAsia="Calibri" w:hAnsi="Calibri"/>
                <w:b w:val="false"/>
                <w:bCs w:val="false"/>
                <w:sz w:val="20"/>
                <w:szCs w:val="20"/>
              </w:rPr>
              <w:t xml:space="preserve">The financial bid must be submitted as a SEPARATE document/e-mail from the technical bid.</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(b) Фінансова пропозиція, що включає:</w:t>
            </w:r>
          </w:p>
          <w:p>
            <w:pPr>
              <w:spacing w:after="60"/>
            </w:pPr>
            <w:r>
              <w:rPr>
                <w:rFonts w:ascii="Calibri" w:cs="Calibri" w:eastAsia="Calibri" w:hAnsi="Calibri"/>
                <w:b w:val="false"/>
                <w:bCs w:val="false"/>
                <w:sz w:val="20"/>
                <w:szCs w:val="20"/>
              </w:rPr>
              <w:t xml:space="preserve">1. Додаток 3 «Фінансова пропозиція (денна ставка)», підписаний — із зазначенням запропонованої кандидатом денної ставки (з урахуванням податків).</w:t>
            </w:r>
          </w:p>
          <w:p>
            <w:pPr>
              <w:spacing w:after="60"/>
            </w:pPr>
            <w:r>
              <w:rPr>
                <w:rFonts w:ascii="Calibri" w:cs="Calibri" w:eastAsia="Calibri" w:hAnsi="Calibri"/>
                <w:b w:val="false"/>
                <w:bCs w:val="false"/>
                <w:sz w:val="20"/>
                <w:szCs w:val="20"/>
              </w:rPr>
              <w:t xml:space="preserve">Фінансова пропозиція подається ОКРЕМИМ документом/листом від технічної пропозиції.</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4. Submission and deadlines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4. Подання та строки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Technical bid — to be sent to:</w:t>
            </w:r>
          </w:p>
          <w:p>
            <w:pPr>
              <w:spacing w:after="60"/>
            </w:pPr>
            <w:r>
              <w:rPr>
                <w:rFonts w:ascii="Calibri" w:cs="Calibri" w:eastAsia="Calibri" w:hAnsi="Calibri"/>
                <w:b w:val="false"/>
                <w:bCs w:val="false"/>
                <w:sz w:val="20"/>
                <w:szCs w:val="20"/>
              </w:rPr>
              <w:t xml:space="preserve">projects@upi.ngo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Технічна пропозиція — надсилається на адресу:</w:t>
            </w:r>
          </w:p>
          <w:p>
            <w:pPr>
              <w:spacing w:after="60"/>
            </w:pPr>
            <w:r>
              <w:rPr>
                <w:rFonts w:ascii="Calibri" w:cs="Calibri" w:eastAsia="Calibri" w:hAnsi="Calibri"/>
                <w:b w:val="false"/>
                <w:bCs w:val="false"/>
                <w:sz w:val="20"/>
                <w:szCs w:val="20"/>
              </w:rPr>
              <w:t xml:space="preserve">projects@upi.ngo</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Financial bid — to be sent to:</w:t>
            </w:r>
          </w:p>
          <w:p>
            <w:pPr>
              <w:spacing w:after="60"/>
            </w:pPr>
            <w:r>
              <w:rPr>
                <w:rFonts w:ascii="Calibri" w:cs="Calibri" w:eastAsia="Calibri" w:hAnsi="Calibri"/>
                <w:b w:val="false"/>
                <w:bCs w:val="false"/>
                <w:sz w:val="20"/>
                <w:szCs w:val="20"/>
              </w:rPr>
              <w:t xml:space="preserve">finance@upi.ngo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Фінансова пропозиція — надсилається на адресу:</w:t>
            </w:r>
          </w:p>
          <w:p>
            <w:pPr>
              <w:spacing w:after="60"/>
            </w:pPr>
            <w:r>
              <w:rPr>
                <w:rFonts w:ascii="Calibri" w:cs="Calibri" w:eastAsia="Calibri" w:hAnsi="Calibri"/>
                <w:b w:val="false"/>
                <w:bCs w:val="false"/>
                <w:sz w:val="20"/>
                <w:szCs w:val="20"/>
              </w:rPr>
              <w:t xml:space="preserve">finance@upi.ngo</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e-mail subject line must be in the form: "ACQUIS-UA 2.0 – Call for Expert (EU Law &amp; Institutional Capacity) – [Candidate's full name]".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Тема електронного листа має бути у форматі: «ACQUIS-UA 2.0 – Call for Expert (EU Law &amp; Institutional Capacity) – [ПІБ кандидата]».</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Questions regarding this call may be sent no later than 4 September 2026 to:</w:t>
            </w:r>
          </w:p>
          <w:p>
            <w:pPr>
              <w:spacing w:after="60"/>
            </w:pPr>
            <w:r>
              <w:rPr>
                <w:rFonts w:ascii="Calibri" w:cs="Calibri" w:eastAsia="Calibri" w:hAnsi="Calibri"/>
                <w:b w:val="false"/>
                <w:bCs w:val="false"/>
                <w:sz w:val="20"/>
                <w:szCs w:val="20"/>
              </w:rPr>
              <w:t xml:space="preserve">projects@upi.ngo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Запитання щодо цього оголошення можна надсилати не пізніше 4 вересня 2026 р. на адресу:</w:t>
            </w:r>
          </w:p>
          <w:p>
            <w:pPr>
              <w:spacing w:after="60"/>
            </w:pPr>
            <w:r>
              <w:rPr>
                <w:rFonts w:ascii="Calibri" w:cs="Calibri" w:eastAsia="Calibri" w:hAnsi="Calibri"/>
                <w:b w:val="false"/>
                <w:bCs w:val="false"/>
                <w:sz w:val="20"/>
                <w:szCs w:val="20"/>
              </w:rPr>
              <w:t xml:space="preserve">projects@upi.ngo</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All clarifications will be communicated in writing to all candidates who submitted a confirmation of intent to participate.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Усі роз'яснення надаватимуться у письмовій формі всім кандидатам, які надіслали підтвердження наміру взяти участь.</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Submission deadline:</w:t>
            </w:r>
          </w:p>
          <w:p>
            <w:pPr>
              <w:spacing w:after="60"/>
            </w:pPr>
            <w:r>
              <w:rPr>
                <w:rFonts w:ascii="Calibri" w:cs="Calibri" w:eastAsia="Calibri" w:hAnsi="Calibri"/>
                <w:b w:val="false"/>
                <w:bCs w:val="false"/>
                <w:sz w:val="20"/>
                <w:szCs w:val="20"/>
              </w:rPr>
              <w:t xml:space="preserve">10 September 2026, 18:00 (Kyiv time)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Кінцевий строк подання пропозицій:</w:t>
            </w:r>
          </w:p>
          <w:p>
            <w:pPr>
              <w:spacing w:after="60"/>
            </w:pPr>
            <w:r>
              <w:rPr>
                <w:rFonts w:ascii="Calibri" w:cs="Calibri" w:eastAsia="Calibri" w:hAnsi="Calibri"/>
                <w:b w:val="false"/>
                <w:bCs w:val="false"/>
                <w:sz w:val="20"/>
                <w:szCs w:val="20"/>
              </w:rPr>
              <w:t xml:space="preserve">10 вересня 2026 р., 18:00 (за київським часом)</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Bids submitted after the deadline, or which do not comply with the requirements of this call, will not be considered.</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Пропозиції, подані після завершення строку або такі, що не відповідають вимогам цього оголошення, розглядатися не будуть.</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5. Indicative timeline</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5. Орієнтовний графік</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Publication of the call</w:t>
            </w:r>
          </w:p>
          <w:p>
            <w:pPr>
              <w:spacing w:after="60"/>
            </w:pPr>
            <w:r>
              <w:rPr>
                <w:rFonts w:ascii="Calibri" w:cs="Calibri" w:eastAsia="Calibri" w:hAnsi="Calibri"/>
                <w:b w:val="false"/>
                <w:bCs w:val="false"/>
                <w:sz w:val="20"/>
                <w:szCs w:val="20"/>
              </w:rPr>
              <w:t xml:space="preserve">31 August 2026 / 31 серпня 2026</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Оголошення конкурсу</w:t>
            </w:r>
          </w:p>
          <w:p>
            <w:pPr>
              <w:spacing w:after="60"/>
            </w:pPr>
            <w:r>
              <w:rPr>
                <w:rFonts w:ascii="Calibri" w:cs="Calibri" w:eastAsia="Calibri" w:hAnsi="Calibri"/>
                <w:b w:val="false"/>
                <w:bCs w:val="false"/>
                <w:sz w:val="20"/>
                <w:szCs w:val="20"/>
              </w:rPr>
              <w:t xml:space="preserve">31 August 2026 / 31 серпня 2026</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Deadline for candidate's questions</w:t>
            </w:r>
          </w:p>
          <w:p>
            <w:pPr>
              <w:spacing w:after="60"/>
            </w:pPr>
            <w:r>
              <w:rPr>
                <w:rFonts w:ascii="Calibri" w:cs="Calibri" w:eastAsia="Calibri" w:hAnsi="Calibri"/>
                <w:b w:val="false"/>
                <w:bCs w:val="false"/>
                <w:sz w:val="20"/>
                <w:szCs w:val="20"/>
              </w:rPr>
              <w:t xml:space="preserve">4 September 2026 / 4 вересня 2026</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Кінцевий строк для запитань кандидата</w:t>
            </w:r>
          </w:p>
          <w:p>
            <w:pPr>
              <w:spacing w:after="60"/>
            </w:pPr>
            <w:r>
              <w:rPr>
                <w:rFonts w:ascii="Calibri" w:cs="Calibri" w:eastAsia="Calibri" w:hAnsi="Calibri"/>
                <w:b w:val="false"/>
                <w:bCs w:val="false"/>
                <w:sz w:val="20"/>
                <w:szCs w:val="20"/>
              </w:rPr>
              <w:t xml:space="preserve">4 September 2026 / 4 вересня 2026</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Submission deadline (10 days from publication)</w:t>
            </w:r>
          </w:p>
          <w:p>
            <w:pPr>
              <w:spacing w:after="60"/>
            </w:pPr>
            <w:r>
              <w:rPr>
                <w:rFonts w:ascii="Calibri" w:cs="Calibri" w:eastAsia="Calibri" w:hAnsi="Calibri"/>
                <w:b w:val="false"/>
                <w:bCs w:val="false"/>
                <w:sz w:val="20"/>
                <w:szCs w:val="20"/>
              </w:rPr>
              <w:t xml:space="preserve">10 September 2026, 18:00 / 10 вересня 2026, 18:00</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Кінцевий строк подання пропозицій (10 днів з дати оголошення)</w:t>
            </w:r>
          </w:p>
          <w:p>
            <w:pPr>
              <w:spacing w:after="60"/>
            </w:pPr>
            <w:r>
              <w:rPr>
                <w:rFonts w:ascii="Calibri" w:cs="Calibri" w:eastAsia="Calibri" w:hAnsi="Calibri"/>
                <w:b w:val="false"/>
                <w:bCs w:val="false"/>
                <w:sz w:val="20"/>
                <w:szCs w:val="20"/>
              </w:rPr>
              <w:t xml:space="preserve">10 September 2026, 18:00 / 10 вересня 2026, 18:00</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Technical evaluation completed</w:t>
            </w:r>
          </w:p>
          <w:p>
            <w:pPr>
              <w:spacing w:after="60"/>
            </w:pPr>
            <w:r>
              <w:rPr>
                <w:rFonts w:ascii="Calibri" w:cs="Calibri" w:eastAsia="Calibri" w:hAnsi="Calibri"/>
                <w:b w:val="false"/>
                <w:bCs w:val="false"/>
                <w:sz w:val="20"/>
                <w:szCs w:val="20"/>
              </w:rPr>
              <w:t xml:space="preserve">by 14 September 2026 / до 14 вересня 2026</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Завершення технічної оцінки</w:t>
            </w:r>
          </w:p>
          <w:p>
            <w:pPr>
              <w:spacing w:after="60"/>
            </w:pPr>
            <w:r>
              <w:rPr>
                <w:rFonts w:ascii="Calibri" w:cs="Calibri" w:eastAsia="Calibri" w:hAnsi="Calibri"/>
                <w:b w:val="false"/>
                <w:bCs w:val="false"/>
                <w:sz w:val="20"/>
                <w:szCs w:val="20"/>
              </w:rPr>
              <w:t xml:space="preserve">by 14 September 2026 / до 14 вересня 2026</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Financial evaluation &amp; selection decision</w:t>
            </w:r>
          </w:p>
          <w:p>
            <w:pPr>
              <w:spacing w:after="60"/>
            </w:pPr>
            <w:r>
              <w:rPr>
                <w:rFonts w:ascii="Calibri" w:cs="Calibri" w:eastAsia="Calibri" w:hAnsi="Calibri"/>
                <w:b w:val="false"/>
                <w:bCs w:val="false"/>
                <w:sz w:val="20"/>
                <w:szCs w:val="20"/>
              </w:rPr>
              <w:t xml:space="preserve">by 17 September 2026 / до 17 вересня 2026</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Фінансова оцінка та рішення про відбір</w:t>
            </w:r>
          </w:p>
          <w:p>
            <w:pPr>
              <w:spacing w:after="60"/>
            </w:pPr>
            <w:r>
              <w:rPr>
                <w:rFonts w:ascii="Calibri" w:cs="Calibri" w:eastAsia="Calibri" w:hAnsi="Calibri"/>
                <w:b w:val="false"/>
                <w:bCs w:val="false"/>
                <w:sz w:val="20"/>
                <w:szCs w:val="20"/>
              </w:rPr>
              <w:t xml:space="preserve">by 17 September 2026 / до 17 вересня 2026</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Notification of results / contract signing</w:t>
            </w:r>
          </w:p>
          <w:p>
            <w:pPr>
              <w:spacing w:after="60"/>
            </w:pPr>
            <w:r>
              <w:rPr>
                <w:rFonts w:ascii="Calibri" w:cs="Calibri" w:eastAsia="Calibri" w:hAnsi="Calibri"/>
                <w:b w:val="false"/>
                <w:bCs w:val="false"/>
                <w:sz w:val="20"/>
                <w:szCs w:val="20"/>
              </w:rPr>
              <w:t xml:space="preserve">by 21 September 2026 / до 21 вересня 2026</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Повідомлення результатів / підписання договору</w:t>
            </w:r>
          </w:p>
          <w:p>
            <w:pPr>
              <w:spacing w:after="60"/>
            </w:pPr>
            <w:r>
              <w:rPr>
                <w:rFonts w:ascii="Calibri" w:cs="Calibri" w:eastAsia="Calibri" w:hAnsi="Calibri"/>
                <w:b w:val="false"/>
                <w:bCs w:val="false"/>
                <w:sz w:val="20"/>
                <w:szCs w:val="20"/>
              </w:rPr>
              <w:t xml:space="preserve">by 21 September 2026 / до 21 вересня 2026</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Period of assignment (indicative)</w:t>
            </w:r>
          </w:p>
          <w:p>
            <w:pPr>
              <w:spacing w:after="60"/>
            </w:pPr>
            <w:r>
              <w:rPr>
                <w:rFonts w:ascii="Calibri" w:cs="Calibri" w:eastAsia="Calibri" w:hAnsi="Calibri"/>
                <w:b w:val="false"/>
                <w:bCs w:val="false"/>
                <w:sz w:val="20"/>
                <w:szCs w:val="20"/>
              </w:rPr>
              <w:t xml:space="preserve">21 Sept 2026 – 31 Dec 2026, with possible extension / 21.09.2026–31.12.2026, з можливістю продовження</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Період залучення (орієнтовно)</w:t>
            </w:r>
          </w:p>
          <w:p>
            <w:pPr>
              <w:spacing w:after="60"/>
            </w:pPr>
            <w:r>
              <w:rPr>
                <w:rFonts w:ascii="Calibri" w:cs="Calibri" w:eastAsia="Calibri" w:hAnsi="Calibri"/>
                <w:b w:val="false"/>
                <w:bCs w:val="false"/>
                <w:sz w:val="20"/>
                <w:szCs w:val="20"/>
              </w:rPr>
              <w:t xml:space="preserve">21 Sept 2026 – 31 Dec 2026, with possible extension / 21.09.2026–31.12.2026, з можливістю продовження</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6. Evaluation methodology</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6. Методологія оцінювання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Bids will be evaluated based on: (i) the CV and (ii) the technical concept note, in accordance with the technical assessment grid (Annex 4).</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Пропозиції оцінюватимуться на основі: (i) CV та (ii) технічної концепції, відповідно до сітки технічної оцінки (Додаток 4).</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Only technical bids scoring at least 50 out of a maximum 100 points will be admitted to the financial evaluation. Technical bids scoring below this threshold will be considered ineligible and excluded.</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До фінансової оцінки допускаються лише технічні пропозиції, що набрали щонайменше 50 із максимальних 100 балів. Технічні пропозиції з меншою кількістю балів вважатимуться такими, що не відповідають вимогам, і будуть виключені.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technical bid is weighted at 70% and the financial bid at 30% of the final score. Within the financial evaluation, the lowest proposed daily rate receives the maximum score; other bids are scored proportionally.</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Технічна пропозиція оцінюється з вагою 70%, фінансова пропозиція — 30% від підсумкового балу. У межах фінансової оцінки найнижча запропонована денна ставка отримує максимальний бал; інші пропозиції оцінюються пропорційно.</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The selection decision will be taken by UPI's selection committee (Director, Financial Manager, Project Manager of ACQUIS-UA 2.0) and recorded in a Selection Committee Protocol.</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Рішення про відбір ухвалює комітет з відбору УПІ (Директор, Фінансовий менеджер, Керівник проєкту ACQUIS-UA 2.0) і фіксується у Протоколі комітету з відбору.</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7. Other provisions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7. Інші положення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UPI does not provide remuneration or reimbursement of costs for the preparation and submission of bids.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УПІ не надає винагороди чи відшкодування витрат за підготовку та подання пропозицій.</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This is a public call for an expert; no negotiations will be held. A submitted bid remains binding until the end of the period specified in the timeline above.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Це публічний конкурс на відбір експерта; переговори не проводитимуться. Подана пропозиція залишається чинною до завершення строку, зазначеного у графіку вище.</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Changes or supplements to the submitted bid are not permitted after the submission deadline, except at UPI's explicit request.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Зміни або доповнення до поданої пропозиції після завершення строку подання не допускаються, крім випадків, коли це прямо запитано УПІ.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UPI reserves the right to cancel or re-announce this call for an expert at any stage, including for reasons related to donor funding availability.</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УПІ залишає за собою право скасувати або повторно оголосити цей конкурс на будь-якому етапі, у тому числі з причин, пов'язаних із наявністю донорського фінансування.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Annexes:</w:t>
            </w:r>
          </w:p>
          <w:p>
            <w:pPr>
              <w:spacing w:after="60"/>
            </w:pPr>
            <w:r>
              <w:rPr>
                <w:rFonts w:ascii="Calibri" w:cs="Calibri" w:eastAsia="Calibri" w:hAnsi="Calibri"/>
                <w:b w:val="false"/>
                <w:bCs w:val="false"/>
                <w:sz w:val="20"/>
                <w:szCs w:val="20"/>
              </w:rPr>
              <w:t xml:space="preserve">Annex 1 — Terms of Reference</w:t>
            </w:r>
          </w:p>
          <w:p>
            <w:pPr>
              <w:spacing w:after="60"/>
            </w:pPr>
            <w:r>
              <w:rPr>
                <w:rFonts w:ascii="Calibri" w:cs="Calibri" w:eastAsia="Calibri" w:hAnsi="Calibri"/>
                <w:b w:val="false"/>
                <w:bCs w:val="false"/>
                <w:sz w:val="20"/>
                <w:szCs w:val="20"/>
              </w:rPr>
              <w:t xml:space="preserve">Annex 2 — Self-declaration of eligibility</w:t>
            </w:r>
          </w:p>
          <w:p>
            <w:pPr>
              <w:spacing w:after="60"/>
            </w:pPr>
            <w:r>
              <w:rPr>
                <w:rFonts w:ascii="Calibri" w:cs="Calibri" w:eastAsia="Calibri" w:hAnsi="Calibri"/>
                <w:b w:val="false"/>
                <w:bCs w:val="false"/>
                <w:sz w:val="20"/>
                <w:szCs w:val="20"/>
              </w:rPr>
              <w:t xml:space="preserve">Annex 3 — Fee proposal (Financial bid)</w:t>
            </w:r>
          </w:p>
          <w:p>
            <w:pPr>
              <w:spacing w:after="60"/>
            </w:pPr>
            <w:r>
              <w:rPr>
                <w:rFonts w:ascii="Calibri" w:cs="Calibri" w:eastAsia="Calibri" w:hAnsi="Calibri"/>
                <w:b w:val="false"/>
                <w:bCs w:val="false"/>
                <w:sz w:val="20"/>
                <w:szCs w:val="20"/>
              </w:rPr>
              <w:t xml:space="preserve">Annex 4 — Assessment grid for the technical evaluation</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Додатки:</w:t>
            </w:r>
          </w:p>
          <w:p>
            <w:pPr>
              <w:spacing w:after="60"/>
            </w:pPr>
            <w:r>
              <w:rPr>
                <w:rFonts w:ascii="Calibri" w:cs="Calibri" w:eastAsia="Calibri" w:hAnsi="Calibri"/>
                <w:b w:val="false"/>
                <w:bCs w:val="false"/>
                <w:sz w:val="20"/>
                <w:szCs w:val="20"/>
              </w:rPr>
              <w:t xml:space="preserve">Додаток 1 — Технічне завдання</w:t>
            </w:r>
          </w:p>
          <w:p>
            <w:pPr>
              <w:spacing w:after="60"/>
            </w:pPr>
            <w:r>
              <w:rPr>
                <w:rFonts w:ascii="Calibri" w:cs="Calibri" w:eastAsia="Calibri" w:hAnsi="Calibri"/>
                <w:b w:val="false"/>
                <w:bCs w:val="false"/>
                <w:sz w:val="20"/>
                <w:szCs w:val="20"/>
              </w:rPr>
              <w:t xml:space="preserve">Додаток 2 — Декларація відповідності</w:t>
            </w:r>
          </w:p>
          <w:p>
            <w:pPr>
              <w:spacing w:after="60"/>
            </w:pPr>
            <w:r>
              <w:rPr>
                <w:rFonts w:ascii="Calibri" w:cs="Calibri" w:eastAsia="Calibri" w:hAnsi="Calibri"/>
                <w:b w:val="false"/>
                <w:bCs w:val="false"/>
                <w:sz w:val="20"/>
                <w:szCs w:val="20"/>
              </w:rPr>
              <w:t xml:space="preserve">Додаток 3 — Фінансова пропозиція (комерційна пропозиція)</w:t>
            </w:r>
          </w:p>
          <w:p>
            <w:pPr>
              <w:spacing w:after="60"/>
            </w:pPr>
            <w:r>
              <w:rPr>
                <w:rFonts w:ascii="Calibri" w:cs="Calibri" w:eastAsia="Calibri" w:hAnsi="Calibri"/>
                <w:b w:val="false"/>
                <w:bCs w:val="false"/>
                <w:sz w:val="20"/>
                <w:szCs w:val="20"/>
              </w:rPr>
              <w:t xml:space="preserve">Додаток 4 — Сітка технічної оцінки</w:t>
            </w:r>
          </w:p>
        </w:tc>
      </w:tr>
    </w:tbl>
    <w:p>
      <w:pPr>
        <w:spacing w:after="80"/>
      </w:pPr>
    </w:p>
    <w:p>
      <w:pPr>
        <w:spacing w:after="80"/>
      </w:pPr>
      <w:r>
        <w:rPr>
          <w:rFonts w:ascii="Calibri" w:cs="Calibri" w:eastAsia="Calibri" w:hAnsi="Calibri"/>
          <w:b w:val="false"/>
          <w:bCs w:val="false"/>
          <w:i w:val="false"/>
          <w:iCs w:val="false"/>
          <w:sz w:val="20"/>
          <w:szCs w:val="20"/>
        </w:rPr>
        <w:t xml:space="preserve">Yours sincerely,</w:t>
      </w:r>
    </w:p>
    <w:p>
      <w:pPr>
        <w:spacing w:after="80"/>
      </w:pPr>
      <w:r>
        <w:rPr>
          <w:rFonts w:ascii="Calibri" w:cs="Calibri" w:eastAsia="Calibri" w:hAnsi="Calibri"/>
          <w:b w:val="false"/>
          <w:bCs w:val="false"/>
          <w:i w:val="false"/>
          <w:iCs w:val="false"/>
          <w:sz w:val="20"/>
          <w:szCs w:val="20"/>
        </w:rPr>
        <w:t xml:space="preserve">З повагою,</w:t>
      </w:r>
    </w:p>
    <w:p>
      <w:pPr>
        <w:spacing w:after="80"/>
      </w:pPr>
    </w:p>
    <w:p>
      <w:pPr>
        <w:spacing w:after="80"/>
      </w:pPr>
      <w:r>
        <w:rPr>
          <w:rFonts w:ascii="Calibri" w:cs="Calibri" w:eastAsia="Calibri" w:hAnsi="Calibri"/>
          <w:b/>
          <w:bCs/>
          <w:i w:val="false"/>
          <w:iCs w:val="false"/>
          <w:sz w:val="20"/>
          <w:szCs w:val="20"/>
        </w:rPr>
        <w:t xml:space="preserve">Ihor Kogut</w:t>
      </w:r>
    </w:p>
    <w:p>
      <w:pPr>
        <w:spacing w:after="80"/>
      </w:pPr>
      <w:r>
        <w:rPr>
          <w:rFonts w:ascii="Calibri" w:cs="Calibri" w:eastAsia="Calibri" w:hAnsi="Calibri"/>
          <w:b w:val="false"/>
          <w:bCs w:val="false"/>
          <w:i w:val="false"/>
          <w:iCs w:val="false"/>
          <w:sz w:val="20"/>
          <w:szCs w:val="20"/>
        </w:rPr>
        <w:t xml:space="preserve">Director, Ukrainian Parliamentary Institute (UPI)</w:t>
      </w:r>
    </w:p>
    <w:p>
      <w:pPr>
        <w:spacing w:after="80"/>
      </w:pPr>
      <w:r>
        <w:rPr>
          <w:rFonts w:ascii="Calibri" w:cs="Calibri" w:eastAsia="Calibri" w:hAnsi="Calibri"/>
          <w:b/>
          <w:bCs/>
          <w:i w:val="false"/>
          <w:iCs w:val="false"/>
          <w:sz w:val="20"/>
          <w:szCs w:val="20"/>
        </w:rPr>
        <w:t xml:space="preserve">Ігор Когут</w:t>
      </w:r>
    </w:p>
    <w:p>
      <w:pPr>
        <w:spacing w:after="80"/>
      </w:pPr>
      <w:r>
        <w:rPr>
          <w:rFonts w:ascii="Calibri" w:cs="Calibri" w:eastAsia="Calibri" w:hAnsi="Calibri"/>
          <w:b w:val="false"/>
          <w:bCs w:val="false"/>
          <w:i w:val="false"/>
          <w:iCs w:val="false"/>
          <w:sz w:val="20"/>
          <w:szCs w:val="20"/>
        </w:rPr>
        <w:t xml:space="preserve">Директор, Український парламентський інститут (УПІ)</w:t>
      </w:r>
    </w:p>
    <w:sectPr>
      <w:headerReference w:type="default" r:id="rId7"/>
      <w:footerReference w:type="default" r:id="rId8"/>
      <w:pgSz w:w="11906" w:h="16838" w:orient="portrait"/>
      <w:pgMar w:top="1000" w:right="850" w:bottom="10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88888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Calibri" w:cs="Calibri" w:eastAsia="Calibri" w:hAnsi="Calibri"/>
        <w:i/>
        <w:iCs/>
        <w:color w:val="888888"/>
        <w:sz w:val="16"/>
        <w:szCs w:val="16"/>
      </w:rPr>
      <w:t xml:space="preserve">UPI / ACQUIS-UA 2.0 — Call for Experts,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2026-08-31T14:39:16.821Z</dcterms:created>
  <dcterms:modified xsi:type="dcterms:W3CDTF">2026-08-31T14:39:16.822Z</dcterms:modified>
</cp:coreProperties>
</file>

<file path=docProps/custom.xml><?xml version="1.0" encoding="utf-8"?>
<Properties xmlns="http://schemas.openxmlformats.org/officeDocument/2006/custom-properties" xmlns:vt="http://schemas.openxmlformats.org/officeDocument/2006/docPropsVTypes"/>
</file>