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Calibri" w:cs="Calibri" w:eastAsia="Calibri" w:hAnsi="Calibri"/>
          <w:b/>
          <w:bCs/>
          <w:sz w:val="28"/>
          <w:szCs w:val="28"/>
        </w:rPr>
        <w:t xml:space="preserve">Terms of Reference</w:t>
      </w:r>
    </w:p>
    <w:p>
      <w:pPr>
        <w:spacing w:after="200"/>
        <w:jc w:val="center"/>
      </w:pPr>
      <w:r>
        <w:rPr>
          <w:rFonts w:ascii="Calibri" w:cs="Calibri" w:eastAsia="Calibri" w:hAnsi="Calibri"/>
          <w:b/>
          <w:bCs/>
          <w:sz w:val="28"/>
          <w:szCs w:val="28"/>
        </w:rPr>
        <w:t xml:space="preserve">Технічне завдання</w:t>
      </w: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Annex 1 to the Call for an Expert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Додаток 1 до Заклику до подання заявок від експерта</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Project: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Проєкт:</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ACQUIS-UA 2.0 (funded by GIZ)</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ACQUIS-UA 2.0 (за фінансування GIZ)</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List of abbreviations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Перелік скорочень</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UPI</w:t>
            </w:r>
          </w:p>
          <w:p>
            <w:pPr>
              <w:spacing w:after="60"/>
            </w:pPr>
            <w:r>
              <w:rPr>
                <w:rFonts w:ascii="Calibri" w:cs="Calibri" w:eastAsia="Calibri" w:hAnsi="Calibri"/>
                <w:b w:val="false"/>
                <w:bCs w:val="false"/>
                <w:sz w:val="20"/>
                <w:szCs w:val="20"/>
              </w:rPr>
              <w:t xml:space="preserve">Ukrainian Parliamentary Institute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УПІ</w:t>
            </w:r>
          </w:p>
          <w:p>
            <w:pPr>
              <w:spacing w:after="60"/>
            </w:pPr>
            <w:r>
              <w:rPr>
                <w:rFonts w:ascii="Calibri" w:cs="Calibri" w:eastAsia="Calibri" w:hAnsi="Calibri"/>
                <w:b w:val="false"/>
                <w:bCs w:val="false"/>
                <w:sz w:val="20"/>
                <w:szCs w:val="20"/>
              </w:rPr>
              <w:t xml:space="preserve">Український парламентський інститут</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GIZ</w:t>
            </w:r>
          </w:p>
          <w:p>
            <w:pPr>
              <w:spacing w:after="60"/>
            </w:pPr>
            <w:r>
              <w:rPr>
                <w:rFonts w:ascii="Calibri" w:cs="Calibri" w:eastAsia="Calibri" w:hAnsi="Calibri"/>
                <w:b w:val="false"/>
                <w:bCs w:val="false"/>
                <w:sz w:val="20"/>
                <w:szCs w:val="20"/>
              </w:rPr>
              <w:t xml:space="preserve">Deutsche Gesellschaft für Internationale Zusammenarbeit GmbH</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GIZ</w:t>
            </w:r>
          </w:p>
          <w:p>
            <w:pPr>
              <w:spacing w:after="60"/>
            </w:pPr>
            <w:r>
              <w:rPr>
                <w:rFonts w:ascii="Calibri" w:cs="Calibri" w:eastAsia="Calibri" w:hAnsi="Calibri"/>
                <w:b w:val="false"/>
                <w:bCs w:val="false"/>
                <w:sz w:val="20"/>
                <w:szCs w:val="20"/>
              </w:rPr>
              <w:t xml:space="preserve">Deutsche Gesellschaft für Internationale Zusammenarbeit GmbH</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VRU</w:t>
            </w:r>
          </w:p>
          <w:p>
            <w:pPr>
              <w:spacing w:after="60"/>
            </w:pPr>
            <w:r>
              <w:rPr>
                <w:rFonts w:ascii="Calibri" w:cs="Calibri" w:eastAsia="Calibri" w:hAnsi="Calibri"/>
                <w:b w:val="false"/>
                <w:bCs w:val="false"/>
                <w:sz w:val="20"/>
                <w:szCs w:val="20"/>
              </w:rPr>
              <w:t xml:space="preserve">Verkhovna Rada of Ukraine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ВРУ</w:t>
            </w:r>
          </w:p>
          <w:p>
            <w:pPr>
              <w:spacing w:after="60"/>
            </w:pPr>
            <w:r>
              <w:rPr>
                <w:rFonts w:ascii="Calibri" w:cs="Calibri" w:eastAsia="Calibri" w:hAnsi="Calibri"/>
                <w:b w:val="false"/>
                <w:bCs w:val="false"/>
                <w:sz w:val="20"/>
                <w:szCs w:val="20"/>
              </w:rPr>
              <w:t xml:space="preserve">Верховна Рада України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ToR</w:t>
            </w:r>
          </w:p>
          <w:p>
            <w:pPr>
              <w:spacing w:after="60"/>
            </w:pPr>
            <w:r>
              <w:rPr>
                <w:rFonts w:ascii="Calibri" w:cs="Calibri" w:eastAsia="Calibri" w:hAnsi="Calibri"/>
                <w:b w:val="false"/>
                <w:bCs w:val="false"/>
                <w:sz w:val="20"/>
                <w:szCs w:val="20"/>
              </w:rPr>
              <w:t xml:space="preserve">Terms of Reference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ТЗ</w:t>
            </w:r>
          </w:p>
          <w:p>
            <w:pPr>
              <w:spacing w:after="60"/>
            </w:pPr>
            <w:r>
              <w:rPr>
                <w:rFonts w:ascii="Calibri" w:cs="Calibri" w:eastAsia="Calibri" w:hAnsi="Calibri"/>
                <w:b w:val="false"/>
                <w:bCs w:val="false"/>
                <w:sz w:val="20"/>
                <w:szCs w:val="20"/>
              </w:rPr>
              <w:t xml:space="preserve">Технічне завдання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acquis</w:t>
            </w:r>
          </w:p>
          <w:p>
            <w:pPr>
              <w:spacing w:after="60"/>
            </w:pPr>
            <w:r>
              <w:rPr>
                <w:rFonts w:ascii="Calibri" w:cs="Calibri" w:eastAsia="Calibri" w:hAnsi="Calibri"/>
                <w:b w:val="false"/>
                <w:bCs w:val="false"/>
                <w:sz w:val="20"/>
                <w:szCs w:val="20"/>
              </w:rPr>
              <w:t xml:space="preserve">the body of EU law</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acquis</w:t>
            </w:r>
          </w:p>
          <w:p>
            <w:pPr>
              <w:spacing w:after="60"/>
            </w:pPr>
            <w:r>
              <w:rPr>
                <w:rFonts w:ascii="Calibri" w:cs="Calibri" w:eastAsia="Calibri" w:hAnsi="Calibri"/>
                <w:b w:val="false"/>
                <w:bCs w:val="false"/>
                <w:sz w:val="20"/>
                <w:szCs w:val="20"/>
              </w:rPr>
              <w:t xml:space="preserve">правовий доробок ЄС</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SIGMA</w:t>
            </w:r>
          </w:p>
          <w:p>
            <w:pPr>
              <w:spacing w:after="60"/>
            </w:pPr>
            <w:r>
              <w:rPr>
                <w:rFonts w:ascii="Calibri" w:cs="Calibri" w:eastAsia="Calibri" w:hAnsi="Calibri"/>
                <w:b w:val="false"/>
                <w:bCs w:val="false"/>
                <w:sz w:val="20"/>
                <w:szCs w:val="20"/>
              </w:rPr>
              <w:t xml:space="preserve">Support for Improvement in Governance and Management (OECD/EU initiative)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SIGMA</w:t>
            </w:r>
          </w:p>
          <w:p>
            <w:pPr>
              <w:spacing w:after="60"/>
            </w:pPr>
            <w:r>
              <w:rPr>
                <w:rFonts w:ascii="Calibri" w:cs="Calibri" w:eastAsia="Calibri" w:hAnsi="Calibri"/>
                <w:b w:val="false"/>
                <w:bCs w:val="false"/>
                <w:sz w:val="20"/>
                <w:szCs w:val="20"/>
              </w:rPr>
              <w:t xml:space="preserve">спільна ініціатива ОЕСР/ЄС з підтримки вдосконалення врядування та управління</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Context</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Контекст</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Ukrainian Parliamentary Institute (UPI) implements the project "ACQUIS-UA 2.0", funded by GIZ, which builds on the outputs of Phase 1 (incl. the parliamentary action plan) and shifts the focus from diagnostics to monitoring implementation of legislative reforms relevant to Ukraine's EU accession process.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Український парламентський інститут (УПІ) реалізує проєкт «ACQUIS-UA 2.0» за фінансування GIZ, який спирається на результати Фази 1 (у т.ч. план дій парламенту) та зміщує фокус із діагностики на моніторинг впровадження законодавчих реформ, релевантних процесу євроінтеграції України.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 key precondition for successful EU accession is not only the transposition of EU law (acquis) into national legislation, but also the institutional capacity of Ukrainian public authorities to implement and enforce it. UPI is therefore seeking an individual short-term expert to support analysis in this area.</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Ключовою передумовою успішної євроінтеграції є не лише транспозиція права ЄС (acquis) у національне законодавство, а й інституційна спроможність органів публічної влади України його впроваджувати та забезпечувати виконання. У зв'язку з цим УПІ шукає індивідуального короткострокового експерта для підтримки аналітичної роботи в цій сфері.</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Tasks to be performed</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Завдання, що виконуються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expert shall:</w:t>
            </w:r>
          </w:p>
          <w:p>
            <w:pPr>
              <w:spacing w:after="60"/>
            </w:pPr>
            <w:r>
              <w:rPr>
                <w:rFonts w:ascii="Calibri" w:cs="Calibri" w:eastAsia="Calibri" w:hAnsi="Calibri"/>
                <w:b w:val="false"/>
                <w:bCs w:val="false"/>
                <w:sz w:val="20"/>
                <w:szCs w:val="20"/>
              </w:rPr>
              <w:t xml:space="preserve">• Analyse relevant provisions of EU law (acquis) applicable to the project's focus areas, and assess the state of their transposition into Ukrainian legislation;</w:t>
            </w:r>
          </w:p>
          <w:p>
            <w:pPr>
              <w:spacing w:after="60"/>
            </w:pPr>
            <w:r>
              <w:rPr>
                <w:rFonts w:ascii="Calibri" w:cs="Calibri" w:eastAsia="Calibri" w:hAnsi="Calibri"/>
                <w:b w:val="false"/>
                <w:bCs w:val="false"/>
                <w:sz w:val="20"/>
                <w:szCs w:val="20"/>
              </w:rPr>
              <w:t xml:space="preserve">• Assess the institutional capacity of relevant Ukrainian public authorities (incl. ministries, agencies and, where relevant, parliamentary committees) to implement and enforce EU-law-aligned legislation, including staffing, procedures and administrative practice;</w:t>
            </w:r>
          </w:p>
          <w:p>
            <w:pPr>
              <w:spacing w:after="60"/>
            </w:pPr>
            <w:r>
              <w:rPr>
                <w:rFonts w:ascii="Calibri" w:cs="Calibri" w:eastAsia="Calibri" w:hAnsi="Calibri"/>
                <w:b w:val="false"/>
                <w:bCs w:val="false"/>
                <w:sz w:val="20"/>
                <w:szCs w:val="20"/>
              </w:rPr>
              <w:t xml:space="preserve">• Contribute to the legislative/acquis monitoring matrix maintained by the project team;</w:t>
            </w:r>
          </w:p>
          <w:p>
            <w:pPr>
              <w:spacing w:after="60"/>
            </w:pPr>
            <w:r>
              <w:rPr>
                <w:rFonts w:ascii="Calibri" w:cs="Calibri" w:eastAsia="Calibri" w:hAnsi="Calibri"/>
                <w:b w:val="false"/>
                <w:bCs w:val="false"/>
                <w:sz w:val="20"/>
                <w:szCs w:val="20"/>
              </w:rPr>
              <w:t xml:space="preserve">• Prepare ad hoc policy briefs and contribute to thematic policy briefs on institutional capacity for EU accession;</w:t>
            </w:r>
          </w:p>
          <w:p>
            <w:pPr>
              <w:spacing w:after="60"/>
            </w:pPr>
            <w:r>
              <w:rPr>
                <w:rFonts w:ascii="Calibri" w:cs="Calibri" w:eastAsia="Calibri" w:hAnsi="Calibri"/>
                <w:b w:val="false"/>
                <w:bCs w:val="false"/>
                <w:sz w:val="20"/>
                <w:szCs w:val="20"/>
              </w:rPr>
              <w:t xml:space="preserve">• Prepare short monitoring updates on a regular basis;</w:t>
            </w:r>
          </w:p>
          <w:p>
            <w:pPr>
              <w:spacing w:after="60"/>
            </w:pPr>
            <w:r>
              <w:rPr>
                <w:rFonts w:ascii="Calibri" w:cs="Calibri" w:eastAsia="Calibri" w:hAnsi="Calibri"/>
                <w:b w:val="false"/>
                <w:bCs w:val="false"/>
                <w:sz w:val="20"/>
                <w:szCs w:val="20"/>
              </w:rPr>
              <w:t xml:space="preserve">• Prepare one research paper (topic to be agreed with the Project Manager) analysing an aspect of EU law transposition or institutional capacity central to the project;</w:t>
            </w:r>
          </w:p>
          <w:p>
            <w:pPr>
              <w:spacing w:after="60"/>
            </w:pPr>
            <w:r>
              <w:rPr>
                <w:rFonts w:ascii="Calibri" w:cs="Calibri" w:eastAsia="Calibri" w:hAnsi="Calibri"/>
                <w:b w:val="false"/>
                <w:bCs w:val="false"/>
                <w:sz w:val="20"/>
                <w:szCs w:val="20"/>
              </w:rPr>
              <w:t xml:space="preserve">• Participate in coordination meetings with the UPI project team and, where relevant, with GIZ.</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Експерт виконує такі завдання:</w:t>
            </w:r>
          </w:p>
          <w:p>
            <w:pPr>
              <w:spacing w:after="60"/>
            </w:pPr>
            <w:r>
              <w:rPr>
                <w:rFonts w:ascii="Calibri" w:cs="Calibri" w:eastAsia="Calibri" w:hAnsi="Calibri"/>
                <w:b w:val="false"/>
                <w:bCs w:val="false"/>
                <w:sz w:val="20"/>
                <w:szCs w:val="20"/>
              </w:rPr>
              <w:t xml:space="preserve">• Аналіз відповідних положень права ЄС (acquis), застосовних до напрямів проєкту, та оцінка стану їх транспозиції в законодавство України;</w:t>
            </w:r>
          </w:p>
          <w:p>
            <w:pPr>
              <w:spacing w:after="60"/>
            </w:pPr>
            <w:r>
              <w:rPr>
                <w:rFonts w:ascii="Calibri" w:cs="Calibri" w:eastAsia="Calibri" w:hAnsi="Calibri"/>
                <w:b w:val="false"/>
                <w:bCs w:val="false"/>
                <w:sz w:val="20"/>
                <w:szCs w:val="20"/>
              </w:rPr>
              <w:t xml:space="preserve">• Оцінка інституційної спроможності відповідних органів публічної влади України (у т.ч. міністерств, відомств та, за потреби, комітетів парламенту) щодо впровадження та забезпечення виконання законодавства, наближеного до права ЄС, включно з кадровим забезпеченням, процедурами та адміністративною практикою;</w:t>
            </w:r>
          </w:p>
          <w:p>
            <w:pPr>
              <w:spacing w:after="60"/>
            </w:pPr>
            <w:r>
              <w:rPr>
                <w:rFonts w:ascii="Calibri" w:cs="Calibri" w:eastAsia="Calibri" w:hAnsi="Calibri"/>
                <w:b w:val="false"/>
                <w:bCs w:val="false"/>
                <w:sz w:val="20"/>
                <w:szCs w:val="20"/>
              </w:rPr>
              <w:t xml:space="preserve">• Внесок до матриці законодавчого моніторингу/моніторингу acquis, яку веде команда проєкту;</w:t>
            </w:r>
          </w:p>
          <w:p>
            <w:pPr>
              <w:spacing w:after="60"/>
            </w:pPr>
            <w:r>
              <w:rPr>
                <w:rFonts w:ascii="Calibri" w:cs="Calibri" w:eastAsia="Calibri" w:hAnsi="Calibri"/>
                <w:b w:val="false"/>
                <w:bCs w:val="false"/>
                <w:sz w:val="20"/>
                <w:szCs w:val="20"/>
              </w:rPr>
              <w:t xml:space="preserve">• Підготовка ad hoc policy briefs та участь у підготовці тематичних policy briefs з питань інституційної спроможності для євроінтеграції;</w:t>
            </w:r>
          </w:p>
          <w:p>
            <w:pPr>
              <w:spacing w:after="60"/>
            </w:pPr>
            <w:r>
              <w:rPr>
                <w:rFonts w:ascii="Calibri" w:cs="Calibri" w:eastAsia="Calibri" w:hAnsi="Calibri"/>
                <w:b w:val="false"/>
                <w:bCs w:val="false"/>
                <w:sz w:val="20"/>
                <w:szCs w:val="20"/>
              </w:rPr>
              <w:t xml:space="preserve">• Регулярна підготовка коротких моніторингових оновлень (short updates);</w:t>
            </w:r>
          </w:p>
          <w:p>
            <w:pPr>
              <w:spacing w:after="60"/>
            </w:pPr>
            <w:r>
              <w:rPr>
                <w:rFonts w:ascii="Calibri" w:cs="Calibri" w:eastAsia="Calibri" w:hAnsi="Calibri"/>
                <w:b w:val="false"/>
                <w:bCs w:val="false"/>
                <w:sz w:val="20"/>
                <w:szCs w:val="20"/>
              </w:rPr>
              <w:t xml:space="preserve">• Підготовка однієї дослідницької роботи (research paper) на тему, погоджену з керівником проєкту, з аналізом аспекту транспозиції права ЄС або інституційної спроможності, релевантного проєкту;</w:t>
            </w:r>
          </w:p>
          <w:p>
            <w:pPr>
              <w:spacing w:after="60"/>
            </w:pPr>
            <w:r>
              <w:rPr>
                <w:rFonts w:ascii="Calibri" w:cs="Calibri" w:eastAsia="Calibri" w:hAnsi="Calibri"/>
                <w:b w:val="false"/>
                <w:bCs w:val="false"/>
                <w:sz w:val="20"/>
                <w:szCs w:val="20"/>
              </w:rPr>
              <w:t xml:space="preserve">• Участь у координаційних зустрічах з проєктною командою УПІ та, за потреби, з GIZ.</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4. Deliverables and reporting</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4. Результати та звітність</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D1. Short monitoring updates</w:t>
            </w:r>
          </w:p>
          <w:p>
            <w:pPr>
              <w:spacing w:after="60"/>
            </w:pPr>
            <w:r>
              <w:rPr>
                <w:rFonts w:ascii="Calibri" w:cs="Calibri" w:eastAsia="Calibri" w:hAnsi="Calibri"/>
                <w:b w:val="false"/>
                <w:bCs w:val="false"/>
                <w:sz w:val="20"/>
                <w:szCs w:val="20"/>
              </w:rPr>
              <w:t xml:space="preserve">Monthly, in editable format (.docx), 1–2 pages each, UA and/or EN</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D1. Короткі моніторингові оновлення (short updates)</w:t>
            </w:r>
          </w:p>
          <w:p>
            <w:pPr>
              <w:spacing w:after="60"/>
            </w:pPr>
            <w:r>
              <w:rPr>
                <w:rFonts w:ascii="Calibri" w:cs="Calibri" w:eastAsia="Calibri" w:hAnsi="Calibri"/>
                <w:b w:val="false"/>
                <w:bCs w:val="false"/>
                <w:sz w:val="20"/>
                <w:szCs w:val="20"/>
              </w:rPr>
              <w:t xml:space="preserve">Щомісяця, у редагованому форматі (.docx), 1–2 стор. кожне, укр. та/або англ. мовою</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D2. Ad hoc / thematic policy brief(s)</w:t>
            </w:r>
          </w:p>
          <w:p>
            <w:pPr>
              <w:spacing w:after="60"/>
            </w:pPr>
            <w:r>
              <w:rPr>
                <w:rFonts w:ascii="Calibri" w:cs="Calibri" w:eastAsia="Calibri" w:hAnsi="Calibri"/>
                <w:b w:val="false"/>
                <w:bCs w:val="false"/>
                <w:sz w:val="20"/>
                <w:szCs w:val="20"/>
              </w:rPr>
              <w:t xml:space="preserve">At least 2 over the period of assignment, 3–5 pages each, editable format (.docx, .pdf)</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D2. Ad hoc / тематичний(і) policy brief(и)</w:t>
            </w:r>
          </w:p>
          <w:p>
            <w:pPr>
              <w:spacing w:after="60"/>
            </w:pPr>
            <w:r>
              <w:rPr>
                <w:rFonts w:ascii="Calibri" w:cs="Calibri" w:eastAsia="Calibri" w:hAnsi="Calibri"/>
                <w:b w:val="false"/>
                <w:bCs w:val="false"/>
                <w:sz w:val="20"/>
                <w:szCs w:val="20"/>
              </w:rPr>
              <w:t xml:space="preserve">Не менше 2 за період залучення, 3–5 стор. кожен, редагований формат (.docx, .pdf)</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D3. Research paper</w:t>
            </w:r>
          </w:p>
          <w:p>
            <w:pPr>
              <w:spacing w:after="60"/>
            </w:pPr>
            <w:r>
              <w:rPr>
                <w:rFonts w:ascii="Calibri" w:cs="Calibri" w:eastAsia="Calibri" w:hAnsi="Calibri"/>
                <w:b w:val="false"/>
                <w:bCs w:val="false"/>
                <w:sz w:val="20"/>
                <w:szCs w:val="20"/>
              </w:rPr>
              <w:t xml:space="preserve">At least 8 pages, topic agreed with the Project Manager, editable format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D3. Дослідницька робота (research paper)</w:t>
            </w:r>
          </w:p>
          <w:p>
            <w:pPr>
              <w:spacing w:after="60"/>
            </w:pPr>
            <w:r>
              <w:rPr>
                <w:rFonts w:ascii="Calibri" w:cs="Calibri" w:eastAsia="Calibri" w:hAnsi="Calibri"/>
                <w:b w:val="false"/>
                <w:bCs w:val="false"/>
                <w:sz w:val="20"/>
                <w:szCs w:val="20"/>
              </w:rPr>
              <w:t xml:space="preserve">Не менше 8 стор., тема погоджена з керівником проєкту, редагований формат</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D4. Input to the legislative/acquis monitoring matrix</w:t>
            </w:r>
          </w:p>
          <w:p>
            <w:pPr>
              <w:spacing w:after="60"/>
            </w:pPr>
            <w:r>
              <w:rPr>
                <w:rFonts w:ascii="Calibri" w:cs="Calibri" w:eastAsia="Calibri" w:hAnsi="Calibri"/>
                <w:b w:val="false"/>
                <w:bCs w:val="false"/>
                <w:sz w:val="20"/>
                <w:szCs w:val="20"/>
              </w:rPr>
              <w:t xml:space="preserve">Ongoing, as per the format used by the ACQUIS-UA 2.0 project team</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D4. Внесок до матриці законодавчого моніторингу / моніторингу acquis</w:t>
            </w:r>
          </w:p>
          <w:p>
            <w:pPr>
              <w:spacing w:after="60"/>
            </w:pPr>
            <w:r>
              <w:rPr>
                <w:rFonts w:ascii="Calibri" w:cs="Calibri" w:eastAsia="Calibri" w:hAnsi="Calibri"/>
                <w:b w:val="false"/>
                <w:bCs w:val="false"/>
                <w:sz w:val="20"/>
                <w:szCs w:val="20"/>
              </w:rPr>
              <w:t xml:space="preserve">Постійно, за форматом, що використовується командою проєкту ACQUIS-UA 2.0</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All deliverables are submitted to the Project Manager of ACQUIS-UA 2.0 and are subject to UPI's review and, where relevant, GIZ's feedback before final acceptance.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Усі результати подаються керівнику проєкту ACQUIS-UA 2.0 і підлягають перегляду з боку УПІ та, за потреби, врахуванню зауважень GIZ перед остаточним прийняттям.</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5. Period of assignment</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5. Період залучення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Indicative period: 21 September 2026 – 31 December 2026, with possible extension subject to project needs, availability of donor funding and mutual agreement between UPI and the expert. There is no contractual obligation to use up the full number of expert-days; the number of days agreed in the contract represents a maximum amount.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Орієнтовний період: 21.09.2026 – 31.12.2026, з можливістю продовження за наявності потреби проєкту, донорського фінансування та за взаємною згодою УПІ і експерта. Немає договірного зобов'язання використовувати повну кількість експерт-днів; погоджена в договорі кількість днів є максимальною величиною.</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6. Required qualifications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6. Вимоги до кваліфікації</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qualifications below represent the requirements for reaching the maximum number of points in the technical assessment (Annex 4). Each criterion is scored individually. This position is open to junior and mid-level professionals; the minimum experience thresholds below are intentionally set at a lower level than for other positions under this project.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Наведені нижче вимоги до кваліфікації відповідають умовам отримання максимальної кількості балів у технічній оцінці (Додаток 4). Кожен критерій оцінюється окремо. Ця позиція відкрита для фахівців початкового та середнього рівня; мінімальні пороги досвіду нижче свідомо встановлені на нижчому рівні, ніж для інших позицій у межах цього проєкту.</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Education: University degree (Bachelor's or Master's, or equivalent) in Law (EU Law/European Law preferred), Public Administration, European Studies or a related field.</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Освіта: вища освіта (бакалавр або магістр, чи еквівалент) за спеціальністю право (бажано право ЄС/європейське право), публічне адміністрування, європейські студії або суміжна галузь.</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Language: Fluent Ukrainian; English at least B2 (CEFR).</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Мова: вільне володіння українською мовою; англійська — не нижче рівня B2 (CEFR).</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General professional experience: at least 1 year of professional experience in EU law, public administration reform, or institutional capacity building.</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Загальний професійний досвід: не менше 1 року професійного досвіду у сфері права ЄС, реформи публічного адміністрування або розбудови інституційної спроможності.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Specific professional experience: at least 1 year of experience related to analysis of EU acquis alignment and/or assessment of institutional capacity of public authorities.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Спеціальний професійний досвід: не менше 1 року досвіду, пов'язаного з аналізом наближення до acquis ЄС та/або оцінкою інституційної спроможності органів публічної влади.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Regional experience: experience working with or researching Ukrainian public institutions.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Регіональний досвід: досвід роботи з державними інституціями України або їх дослідження.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Development cooperation experience: experience in or exposure to donor-funded projects (GIZ, EU or other international partners) is an asset but is not mandatory.</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Досвід у сфері міжнародної технічної допомоги: досвід роботи або дотичність до донорських проєктів (GIZ, ЄС чи інші міжнародні партнери) є перевагою, але не є обов'язковим.</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Other: familiarity with institutional capacity assessment frameworks (e.g. SIGMA/OECD Principles of Public Administration) is an asset.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Інше: обізнаність з методиками оцінки інституційної спроможності (напр., принципи публічного адміністрування SIGMA/ОЕСР) є перевагою.</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7. Costing requirements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7. Вимоги до вартості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Position</w:t>
            </w:r>
          </w:p>
          <w:p>
            <w:pPr>
              <w:spacing w:after="60"/>
            </w:pPr>
            <w:r>
              <w:rPr>
                <w:rFonts w:ascii="Calibri" w:cs="Calibri" w:eastAsia="Calibri" w:hAnsi="Calibri"/>
                <w:b/>
                <w:bCs/>
                <w:sz w:val="20"/>
                <w:szCs w:val="20"/>
              </w:rPr>
              <w:t xml:space="preserve">Indicative number of expert-days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Позиція</w:t>
            </w:r>
          </w:p>
          <w:p>
            <w:pPr>
              <w:spacing w:after="60"/>
            </w:pPr>
            <w:r>
              <w:rPr>
                <w:rFonts w:ascii="Calibri" w:cs="Calibri" w:eastAsia="Calibri" w:hAnsi="Calibri"/>
                <w:b/>
                <w:bCs/>
                <w:sz w:val="20"/>
                <w:szCs w:val="20"/>
              </w:rPr>
              <w:t xml:space="preserve">Індикативна кількість експерт-днів</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Expert on EU Law and Institutional Capacity of Public Authorities</w:t>
            </w:r>
          </w:p>
          <w:p>
            <w:pPr>
              <w:spacing w:after="60"/>
            </w:pPr>
            <w:r>
              <w:rPr>
                <w:rFonts w:ascii="Calibri" w:cs="Calibri" w:eastAsia="Calibri" w:hAnsi="Calibri"/>
                <w:b w:val="false"/>
                <w:bCs w:val="false"/>
                <w:sz w:val="20"/>
                <w:szCs w:val="20"/>
              </w:rPr>
              <w:t xml:space="preserve">up to 35 expert-days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Експерт із права ЄС та інституційної спроможності органів публічної влади</w:t>
            </w:r>
          </w:p>
          <w:p>
            <w:pPr>
              <w:spacing w:after="60"/>
            </w:pPr>
            <w:r>
              <w:rPr>
                <w:rFonts w:ascii="Calibri" w:cs="Calibri" w:eastAsia="Calibri" w:hAnsi="Calibri"/>
                <w:b w:val="false"/>
                <w:bCs w:val="false"/>
                <w:sz w:val="20"/>
                <w:szCs w:val="20"/>
              </w:rPr>
              <w:t xml:space="preserve">до 35 експерт-днів</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candidate proposes a gross daily fee rate in Annex 3 (Fee proposal). All applicable taxes and fees must be included in the quoted rate. The financial bid must be prepared in UAH.</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Кандидат пропонує денну ставку (з урахуванням податків) у Додатку 3 (Фінансова пропозиція). Усі застосовні податки та збори мають бути включені до запропонованої ставки. Фінансова пропозиція готується у гривнях (UAH).</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Payment is made on a post-payment basis upon acceptance of the respective deliverable(s), on the basis of an act of acceptance and timesheet, by bank transfer to the expert's account.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Оплата здійснюється на умовах постоплати після прийняття відповідного(их) результату(ів) на підставі акту приймання-передачі та табеля обліку робочого часу шляхом банківського переказу на рахунок експерта.</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8. Inputs to be provided by UPI</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8. Внесок УПІ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UPI will provide:</w:t>
            </w:r>
          </w:p>
          <w:p>
            <w:pPr>
              <w:spacing w:after="60"/>
            </w:pPr>
            <w:r>
              <w:rPr>
                <w:rFonts w:ascii="Calibri" w:cs="Calibri" w:eastAsia="Calibri" w:hAnsi="Calibri"/>
                <w:b w:val="false"/>
                <w:bCs w:val="false"/>
                <w:sz w:val="20"/>
                <w:szCs w:val="20"/>
              </w:rPr>
              <w:t xml:space="preserve">• access to relevant project documents, prior analytical outputs and the legislative/acquis monitoring matrix;</w:t>
            </w:r>
          </w:p>
          <w:p>
            <w:pPr>
              <w:spacing w:after="60"/>
            </w:pPr>
            <w:r>
              <w:rPr>
                <w:rFonts w:ascii="Calibri" w:cs="Calibri" w:eastAsia="Calibri" w:hAnsi="Calibri"/>
                <w:b w:val="false"/>
                <w:bCs w:val="false"/>
                <w:sz w:val="20"/>
                <w:szCs w:val="20"/>
              </w:rPr>
              <w:t xml:space="preserve">• coordination with the Verkhovna Rada, GIZ and other stakeholders, where necessary;</w:t>
            </w:r>
          </w:p>
          <w:p>
            <w:pPr>
              <w:spacing w:after="60"/>
            </w:pPr>
            <w:r>
              <w:rPr>
                <w:rFonts w:ascii="Calibri" w:cs="Calibri" w:eastAsia="Calibri" w:hAnsi="Calibri"/>
                <w:b w:val="false"/>
                <w:bCs w:val="false"/>
                <w:sz w:val="20"/>
                <w:szCs w:val="20"/>
              </w:rPr>
              <w:t xml:space="preserve">• feedback on draft deliverables within a reasonable timeframe;</w:t>
            </w:r>
          </w:p>
          <w:p>
            <w:pPr>
              <w:spacing w:after="60"/>
            </w:pPr>
            <w:r>
              <w:rPr>
                <w:rFonts w:ascii="Calibri" w:cs="Calibri" w:eastAsia="Calibri" w:hAnsi="Calibri"/>
                <w:b w:val="false"/>
                <w:bCs w:val="false"/>
                <w:sz w:val="20"/>
                <w:szCs w:val="20"/>
              </w:rPr>
              <w:t xml:space="preserve">• a designated focal point (Project Manager of ACQUIS-UA 2.0) for day-to-day coordination and mentorship, given the junior-friendly nature of this position.</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УПІ надає:</w:t>
            </w:r>
          </w:p>
          <w:p>
            <w:pPr>
              <w:spacing w:after="60"/>
            </w:pPr>
            <w:r>
              <w:rPr>
                <w:rFonts w:ascii="Calibri" w:cs="Calibri" w:eastAsia="Calibri" w:hAnsi="Calibri"/>
                <w:b w:val="false"/>
                <w:bCs w:val="false"/>
                <w:sz w:val="20"/>
                <w:szCs w:val="20"/>
              </w:rPr>
              <w:t xml:space="preserve">• доступ до відповідних проєктних документів, попередніх аналітичних результатів та матриці законодавчого моніторингу/моніторингу acquis;</w:t>
            </w:r>
          </w:p>
          <w:p>
            <w:pPr>
              <w:spacing w:after="60"/>
            </w:pPr>
            <w:r>
              <w:rPr>
                <w:rFonts w:ascii="Calibri" w:cs="Calibri" w:eastAsia="Calibri" w:hAnsi="Calibri"/>
                <w:b w:val="false"/>
                <w:bCs w:val="false"/>
                <w:sz w:val="20"/>
                <w:szCs w:val="20"/>
              </w:rPr>
              <w:t xml:space="preserve">• координацію з Верховною Радою, GIZ та іншими зацікавленими сторонами за потреби;</w:t>
            </w:r>
          </w:p>
          <w:p>
            <w:pPr>
              <w:spacing w:after="60"/>
            </w:pPr>
            <w:r>
              <w:rPr>
                <w:rFonts w:ascii="Calibri" w:cs="Calibri" w:eastAsia="Calibri" w:hAnsi="Calibri"/>
                <w:b w:val="false"/>
                <w:bCs w:val="false"/>
                <w:sz w:val="20"/>
                <w:szCs w:val="20"/>
              </w:rPr>
              <w:t xml:space="preserve">• зауваження до проєктів результатів у розумні строки;</w:t>
            </w:r>
          </w:p>
          <w:p>
            <w:pPr>
              <w:spacing w:after="60"/>
            </w:pPr>
            <w:r>
              <w:rPr>
                <w:rFonts w:ascii="Calibri" w:cs="Calibri" w:eastAsia="Calibri" w:hAnsi="Calibri"/>
                <w:b w:val="false"/>
                <w:bCs w:val="false"/>
                <w:sz w:val="20"/>
                <w:szCs w:val="20"/>
              </w:rPr>
              <w:t xml:space="preserve">• визначену контактну особу (керівника проєкту ACQUIS-UA 2.0) для поточної координації та наставництва з огляду на доступність цієї позиції для фахівців початкового рівня.</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9. Contract management and other provisions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9. Управління договором та інші положення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selected expert will sign an individual service contract with UPI, referencing this Terms of Reference. The contract will be governed by Ukrainian law and UPI's internal Rules for the Procurement of Goods/Services.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Обраний експерт підписує індивідуальний договір про надання послуг з УПІ з посиланням на це Технічне завдання. Договір регулюється законодавством України та внутрішніми Правилами закупівлі товарів/послуг УПІ.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If the expert has an existing employment or service contract with GIZ, this must be disclosed, stating the end date of the respective contract.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Якщо експерт має чинний трудовий договір або договір про надання послуг з GIZ, це має бути розкрито із зазначенням дати закінчення відповідного договору.</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Costs incurred outside the period of assignment are not eligible for reimbursement.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Витрати, понесені поза межами періоду залучення, не підлягають відшкодуванню.</w:t>
            </w:r>
          </w:p>
        </w:tc>
      </w:tr>
    </w:tbl>
    <w:sectPr>
      <w:headerReference w:type="default" r:id="rId7"/>
      <w:footerReference w:type="default" r:id="rId8"/>
      <w:pgSz w:w="11906" w:h="16838" w:orient="portrait"/>
      <w:pgMar w:top="1000" w:right="850" w:bottom="10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88888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Calibri" w:cs="Calibri" w:eastAsia="Calibri" w:hAnsi="Calibri"/>
        <w:i/>
        <w:iCs/>
        <w:color w:val="888888"/>
        <w:sz w:val="16"/>
        <w:szCs w:val="16"/>
      </w:rPr>
      <w:t xml:space="preserve">UPI / ACQUIS-UA 2.0 — Call for Experts,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2026-08-31T14:39:17.147Z</dcterms:created>
  <dcterms:modified xsi:type="dcterms:W3CDTF">2026-08-31T14:39:17.147Z</dcterms:modified>
</cp:coreProperties>
</file>

<file path=docProps/custom.xml><?xml version="1.0" encoding="utf-8"?>
<Properties xmlns="http://schemas.openxmlformats.org/officeDocument/2006/custom-properties" xmlns:vt="http://schemas.openxmlformats.org/officeDocument/2006/docPropsVTypes"/>
</file>